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F2" w:rsidRPr="00BB3307" w:rsidRDefault="00B86BF2" w:rsidP="0057791F">
      <w:pPr>
        <w:spacing w:before="120" w:line="300" w:lineRule="auto"/>
        <w:outlineLvl w:val="0"/>
        <w:rPr>
          <w:rFonts w:asciiTheme="majorBidi" w:hAnsiTheme="majorBidi" w:cstheme="majorBidi"/>
          <w:b/>
          <w:bCs/>
          <w:sz w:val="24"/>
          <w:szCs w:val="24"/>
          <w:rtl/>
          <w:lang w:bidi="ar-DZ"/>
        </w:rPr>
      </w:pPr>
      <w:bookmarkStart w:id="0" w:name="_Toc182296314"/>
      <w:r w:rsidRPr="00BB3307">
        <w:rPr>
          <w:rFonts w:asciiTheme="majorBidi" w:hAnsiTheme="majorBidi" w:cstheme="majorBidi"/>
          <w:b/>
          <w:bCs/>
          <w:sz w:val="24"/>
          <w:szCs w:val="24"/>
        </w:rPr>
        <w:t>Résumé</w:t>
      </w:r>
      <w:bookmarkEnd w:id="0"/>
    </w:p>
    <w:p w:rsidR="00B86BF2" w:rsidRPr="00CA11B9" w:rsidRDefault="00B86BF2" w:rsidP="0057791F">
      <w:pPr>
        <w:autoSpaceDE w:val="0"/>
        <w:autoSpaceDN w:val="0"/>
        <w:adjustRightInd w:val="0"/>
        <w:spacing w:before="120" w:line="300" w:lineRule="auto"/>
        <w:rPr>
          <w:rFonts w:ascii="Times New Roman" w:hAnsi="Times New Roman" w:cs="Times New Roman"/>
          <w:spacing w:val="-4"/>
          <w:sz w:val="24"/>
          <w:szCs w:val="24"/>
        </w:rPr>
      </w:pPr>
      <w:r w:rsidRPr="00CA11B9">
        <w:rPr>
          <w:rFonts w:ascii="Times New Roman" w:hAnsi="Times New Roman" w:cs="Times New Roman"/>
          <w:spacing w:val="-4"/>
          <w:sz w:val="24"/>
          <w:szCs w:val="24"/>
        </w:rPr>
        <w:t xml:space="preserve">Les techniques de financement participatif représentent le noyau dur de l’activité bancaire islamique puisqu’elles reposent sur un principe de base qui est le partage des risques et des rendements. Cependant, ces instruments de financement engendrent des risques très importants et difficiles à gérer ; ce qui rend les banques islamiques réticentes à recourir à ces modes de financement. Notre travail de recherche vise à déceler les différents obstacles qui freinent l’intermédiation financière participative en étudiant les différents risques des modes de financement participatif ainsi que leurs techniques d’atténuation. Dans cette optique, notre étude empirique s’est basée sur un échantillon de 79 cadres concernés par la gestion des risques au sein des BI dans différents pays, en vue de vérifier leurs perceptions sur la gestion des risques liés à la </w:t>
      </w:r>
      <w:r w:rsidRPr="00CA11B9">
        <w:rPr>
          <w:rFonts w:ascii="Times New Roman" w:hAnsi="Times New Roman" w:cs="Times New Roman"/>
          <w:i/>
          <w:iCs/>
          <w:spacing w:val="-4"/>
          <w:sz w:val="24"/>
          <w:szCs w:val="24"/>
        </w:rPr>
        <w:t>moucharaka</w:t>
      </w:r>
      <w:r w:rsidRPr="00CA11B9">
        <w:rPr>
          <w:rFonts w:ascii="Times New Roman" w:hAnsi="Times New Roman" w:cs="Times New Roman"/>
          <w:spacing w:val="-4"/>
          <w:sz w:val="24"/>
          <w:szCs w:val="24"/>
        </w:rPr>
        <w:t xml:space="preserve"> et la </w:t>
      </w:r>
      <w:r w:rsidRPr="00CA11B9">
        <w:rPr>
          <w:rFonts w:ascii="Times New Roman" w:hAnsi="Times New Roman" w:cs="Times New Roman"/>
          <w:i/>
          <w:iCs/>
          <w:spacing w:val="-4"/>
          <w:sz w:val="24"/>
          <w:szCs w:val="24"/>
        </w:rPr>
        <w:t>moudaraba</w:t>
      </w:r>
      <w:r w:rsidRPr="00CA11B9">
        <w:rPr>
          <w:rFonts w:ascii="Times New Roman" w:hAnsi="Times New Roman" w:cs="Times New Roman"/>
          <w:spacing w:val="-4"/>
          <w:sz w:val="24"/>
          <w:szCs w:val="24"/>
        </w:rPr>
        <w:t>. Les résultats de l’analyse descriptive et statistique du questionnaire nous ont permis de démontrer les principales causes de réticences des BI à utiliser les produits participatifs et de proposer quelques solutions pour favoriser ce type de financement.</w:t>
      </w:r>
    </w:p>
    <w:p w:rsidR="00B86BF2" w:rsidRPr="0057791F" w:rsidRDefault="00B86BF2" w:rsidP="0057791F">
      <w:pPr>
        <w:autoSpaceDE w:val="0"/>
        <w:autoSpaceDN w:val="0"/>
        <w:adjustRightInd w:val="0"/>
        <w:spacing w:before="120" w:line="300" w:lineRule="auto"/>
        <w:rPr>
          <w:rFonts w:ascii="Times New Roman" w:hAnsi="Times New Roman" w:cs="Times New Roman"/>
          <w:i/>
          <w:spacing w:val="-4"/>
          <w:sz w:val="24"/>
          <w:szCs w:val="24"/>
        </w:rPr>
      </w:pPr>
      <w:r w:rsidRPr="00CA11B9">
        <w:rPr>
          <w:rFonts w:ascii="Times New Roman" w:hAnsi="Times New Roman" w:cs="Times New Roman"/>
          <w:b/>
          <w:i/>
          <w:spacing w:val="-4"/>
          <w:sz w:val="24"/>
          <w:szCs w:val="24"/>
        </w:rPr>
        <w:t>Mots clés</w:t>
      </w:r>
      <w:r w:rsidRPr="00CA11B9">
        <w:rPr>
          <w:rFonts w:ascii="Times New Roman" w:hAnsi="Times New Roman" w:cs="Times New Roman"/>
          <w:i/>
          <w:spacing w:val="-4"/>
          <w:sz w:val="24"/>
          <w:szCs w:val="24"/>
        </w:rPr>
        <w:t xml:space="preserve"> : </w:t>
      </w:r>
      <w:r w:rsidRPr="00CA11B9">
        <w:rPr>
          <w:rFonts w:ascii="Times New Roman" w:hAnsi="Times New Roman" w:cs="Times New Roman"/>
          <w:spacing w:val="-4"/>
          <w:sz w:val="24"/>
          <w:szCs w:val="24"/>
        </w:rPr>
        <w:t xml:space="preserve">Banque islamique, gestion des risques, </w:t>
      </w:r>
      <w:r w:rsidRPr="00CA11B9">
        <w:rPr>
          <w:rFonts w:ascii="Times New Roman" w:hAnsi="Times New Roman" w:cs="Times New Roman"/>
          <w:i/>
          <w:iCs/>
          <w:spacing w:val="-4"/>
          <w:sz w:val="24"/>
          <w:szCs w:val="24"/>
        </w:rPr>
        <w:t>moucharaka</w:t>
      </w:r>
      <w:r w:rsidRPr="00CA11B9">
        <w:rPr>
          <w:rFonts w:ascii="Times New Roman" w:hAnsi="Times New Roman" w:cs="Times New Roman"/>
          <w:spacing w:val="-4"/>
          <w:sz w:val="24"/>
          <w:szCs w:val="24"/>
        </w:rPr>
        <w:t xml:space="preserve">, </w:t>
      </w:r>
      <w:r w:rsidRPr="00CA11B9">
        <w:rPr>
          <w:rFonts w:ascii="Times New Roman" w:hAnsi="Times New Roman" w:cs="Times New Roman"/>
          <w:i/>
          <w:iCs/>
          <w:spacing w:val="-4"/>
          <w:sz w:val="24"/>
          <w:szCs w:val="24"/>
        </w:rPr>
        <w:t>moudaraba</w:t>
      </w:r>
      <w:r w:rsidRPr="00CA11B9">
        <w:rPr>
          <w:rFonts w:ascii="Times New Roman" w:hAnsi="Times New Roman" w:cs="Times New Roman"/>
          <w:spacing w:val="-4"/>
          <w:sz w:val="24"/>
          <w:szCs w:val="24"/>
        </w:rPr>
        <w:t xml:space="preserve">, </w:t>
      </w:r>
      <w:r w:rsidR="00876535">
        <w:rPr>
          <w:rFonts w:ascii="Times New Roman" w:hAnsi="Times New Roman" w:cs="Times New Roman"/>
          <w:spacing w:val="-4"/>
          <w:sz w:val="24"/>
          <w:szCs w:val="24"/>
        </w:rPr>
        <w:t xml:space="preserve">shirkah, </w:t>
      </w:r>
      <w:r w:rsidRPr="00CA11B9">
        <w:rPr>
          <w:rFonts w:ascii="Times New Roman" w:hAnsi="Times New Roman" w:cs="Times New Roman"/>
          <w:spacing w:val="-4"/>
          <w:sz w:val="24"/>
          <w:szCs w:val="24"/>
        </w:rPr>
        <w:t>partage de profits et des pertes</w:t>
      </w:r>
      <w:r w:rsidR="00876535">
        <w:rPr>
          <w:rFonts w:ascii="Times New Roman" w:hAnsi="Times New Roman" w:cs="Times New Roman"/>
          <w:spacing w:val="-4"/>
          <w:sz w:val="24"/>
          <w:szCs w:val="24"/>
        </w:rPr>
        <w:t>, modes de financement participatif, risques spécifiques, finance participative, partage de risques.</w:t>
      </w:r>
    </w:p>
    <w:p w:rsidR="00B86BF2" w:rsidRPr="00BE080A" w:rsidRDefault="00B86BF2" w:rsidP="0057791F">
      <w:pPr>
        <w:spacing w:before="120" w:after="120" w:line="300" w:lineRule="auto"/>
        <w:rPr>
          <w:rFonts w:asciiTheme="majorBidi" w:hAnsiTheme="majorBidi" w:cstheme="majorBidi"/>
          <w:b/>
          <w:bCs/>
          <w:sz w:val="24"/>
          <w:szCs w:val="24"/>
          <w:lang w:val="en-US"/>
        </w:rPr>
      </w:pPr>
      <w:r w:rsidRPr="00BE080A">
        <w:rPr>
          <w:rFonts w:asciiTheme="majorBidi" w:hAnsiTheme="majorBidi" w:cstheme="majorBidi"/>
          <w:b/>
          <w:bCs/>
          <w:sz w:val="24"/>
          <w:szCs w:val="24"/>
          <w:lang w:val="en-US"/>
        </w:rPr>
        <w:t>Abstract</w:t>
      </w:r>
    </w:p>
    <w:p w:rsidR="00B86BF2" w:rsidRPr="00CA11B9" w:rsidRDefault="00B86BF2" w:rsidP="0057791F">
      <w:pPr>
        <w:spacing w:before="120" w:line="300" w:lineRule="auto"/>
        <w:rPr>
          <w:rFonts w:ascii="Times New Roman" w:hAnsi="Times New Roman" w:cs="Times New Roman"/>
          <w:spacing w:val="-4"/>
          <w:sz w:val="24"/>
          <w:szCs w:val="24"/>
          <w:lang w:val="en-GB"/>
        </w:rPr>
      </w:pPr>
      <w:r w:rsidRPr="00CA11B9">
        <w:rPr>
          <w:rFonts w:ascii="Times New Roman" w:hAnsi="Times New Roman" w:cs="Times New Roman"/>
          <w:spacing w:val="-4"/>
          <w:sz w:val="24"/>
          <w:szCs w:val="24"/>
          <w:lang w:val="en-GB"/>
        </w:rPr>
        <w:t xml:space="preserve">Participatory financing techniques are the hard core of Islamic banking, as they are based on a basic principle of sharing risk and returns. However, these financing techniques generate very large and difficult risks to manage, which makes the Islamic banks reluctant to resort to these modes of financing. Our research aims to identify the different obstacles that hinder participatory financial intermediation, by studying the different risks of participatory financing methods, as well as their mitigation techniques. In this context, our empirical study was based on a sample of 79 risk manager in Islamic banks </w:t>
      </w:r>
      <w:r w:rsidRPr="00F04B08">
        <w:rPr>
          <w:rFonts w:ascii="Times New Roman" w:hAnsi="Times New Roman" w:cs="Times New Roman"/>
          <w:spacing w:val="-4"/>
          <w:sz w:val="24"/>
          <w:szCs w:val="24"/>
          <w:lang w:val="en-GB"/>
        </w:rPr>
        <w:t xml:space="preserve">operating in different countries </w:t>
      </w:r>
      <w:r w:rsidRPr="00CA11B9">
        <w:rPr>
          <w:rFonts w:ascii="Times New Roman" w:hAnsi="Times New Roman" w:cs="Times New Roman"/>
          <w:spacing w:val="-4"/>
          <w:sz w:val="24"/>
          <w:szCs w:val="24"/>
          <w:lang w:val="en-GB"/>
        </w:rPr>
        <w:t xml:space="preserve">to verify their perceptions on the risk management of the </w:t>
      </w:r>
      <w:r w:rsidRPr="00CA11B9">
        <w:rPr>
          <w:rFonts w:ascii="Times New Roman" w:hAnsi="Times New Roman" w:cs="Times New Roman"/>
          <w:i/>
          <w:iCs/>
          <w:spacing w:val="-4"/>
          <w:sz w:val="24"/>
          <w:szCs w:val="24"/>
          <w:lang w:val="en-GB"/>
        </w:rPr>
        <w:t>musharaka</w:t>
      </w:r>
      <w:r w:rsidRPr="00CA11B9">
        <w:rPr>
          <w:rFonts w:ascii="Times New Roman" w:hAnsi="Times New Roman" w:cs="Times New Roman"/>
          <w:spacing w:val="-4"/>
          <w:sz w:val="24"/>
          <w:szCs w:val="24"/>
          <w:lang w:val="en-GB"/>
        </w:rPr>
        <w:t xml:space="preserve"> and </w:t>
      </w:r>
      <w:r w:rsidRPr="00CA11B9">
        <w:rPr>
          <w:rFonts w:ascii="Times New Roman" w:hAnsi="Times New Roman" w:cs="Times New Roman"/>
          <w:i/>
          <w:iCs/>
          <w:spacing w:val="-4"/>
          <w:sz w:val="24"/>
          <w:szCs w:val="24"/>
          <w:lang w:val="en-GB"/>
        </w:rPr>
        <w:t>mudaraba</w:t>
      </w:r>
      <w:r w:rsidRPr="00CA11B9">
        <w:rPr>
          <w:rFonts w:ascii="Times New Roman" w:hAnsi="Times New Roman" w:cs="Times New Roman"/>
          <w:spacing w:val="-4"/>
          <w:sz w:val="24"/>
          <w:szCs w:val="24"/>
          <w:lang w:val="en-GB"/>
        </w:rPr>
        <w:t>. The results of the descriptive and statistical analysis of the questionnaire allowed us to demonstrate the main causes of reluctance of BI to use participatory products and to propose some solutions to favor this type of financing.</w:t>
      </w:r>
    </w:p>
    <w:p w:rsidR="0058527B" w:rsidRPr="0058527B" w:rsidRDefault="0058527B" w:rsidP="0058527B">
      <w:pPr>
        <w:shd w:val="clear" w:color="auto" w:fill="FFFFFF"/>
        <w:spacing w:before="100" w:beforeAutospacing="1" w:after="100" w:afterAutospacing="1" w:line="240" w:lineRule="auto"/>
        <w:jc w:val="left"/>
        <w:rPr>
          <w:rFonts w:asciiTheme="majorBidi" w:eastAsia="Times New Roman" w:hAnsiTheme="majorBidi" w:cstheme="majorBidi"/>
          <w:iCs/>
          <w:sz w:val="24"/>
          <w:szCs w:val="24"/>
          <w:lang w:eastAsia="fr-FR"/>
        </w:rPr>
      </w:pPr>
      <w:r w:rsidRPr="0058527B">
        <w:rPr>
          <w:rFonts w:asciiTheme="majorBidi" w:hAnsiTheme="majorBidi" w:cstheme="majorBidi"/>
          <w:b/>
          <w:bCs/>
          <w:iCs/>
          <w:sz w:val="24"/>
          <w:szCs w:val="24"/>
        </w:rPr>
        <w:t>Key words :</w:t>
      </w:r>
      <w:r w:rsidRPr="0058527B">
        <w:rPr>
          <w:rFonts w:asciiTheme="majorBidi" w:hAnsiTheme="majorBidi" w:cstheme="majorBidi"/>
          <w:iCs/>
          <w:sz w:val="24"/>
          <w:szCs w:val="24"/>
        </w:rPr>
        <w:t xml:space="preserve"> I</w:t>
      </w:r>
      <w:r w:rsidRPr="0058527B">
        <w:rPr>
          <w:rFonts w:asciiTheme="majorBidi" w:eastAsia="Times New Roman" w:hAnsiTheme="majorBidi" w:cstheme="majorBidi"/>
          <w:iCs/>
          <w:sz w:val="24"/>
          <w:szCs w:val="24"/>
          <w:lang w:eastAsia="fr-FR"/>
        </w:rPr>
        <w:t>slamic bank, Risk management, Musharakah, Mudarabah, Shirkah, Profit and loss sharing, Crowdfunding modes, Specific risks, Participatory finance, Risk sharing</w:t>
      </w:r>
    </w:p>
    <w:p w:rsidR="00B86BF2" w:rsidRPr="0057791F" w:rsidRDefault="00B86BF2" w:rsidP="0057791F">
      <w:pPr>
        <w:spacing w:before="120" w:line="300" w:lineRule="auto"/>
        <w:rPr>
          <w:rFonts w:ascii="Times New Roman" w:hAnsi="Times New Roman" w:cs="Times New Roman"/>
          <w:i/>
          <w:color w:val="FF0000"/>
          <w:sz w:val="24"/>
          <w:szCs w:val="24"/>
        </w:rPr>
      </w:pPr>
    </w:p>
    <w:p w:rsidR="00B86BF2" w:rsidRPr="00BE080A" w:rsidRDefault="00B86BF2" w:rsidP="0057791F">
      <w:pPr>
        <w:spacing w:before="120" w:after="120" w:line="300" w:lineRule="auto"/>
        <w:jc w:val="center"/>
        <w:rPr>
          <w:b/>
          <w:bCs/>
          <w:sz w:val="26"/>
          <w:szCs w:val="26"/>
          <w:lang w:val="en-US"/>
        </w:rPr>
      </w:pPr>
      <w:r w:rsidRPr="00BE080A">
        <w:rPr>
          <w:b/>
          <w:bCs/>
          <w:sz w:val="26"/>
          <w:szCs w:val="26"/>
          <w:rtl/>
          <w:lang w:val="en-US"/>
        </w:rPr>
        <w:t>إدارة مخاطر أساليب التمويل الإسلامي التشاركي</w:t>
      </w:r>
    </w:p>
    <w:p w:rsidR="00B86BF2" w:rsidRPr="00BB3307" w:rsidRDefault="00B86BF2" w:rsidP="0057791F">
      <w:pPr>
        <w:spacing w:before="120" w:line="300" w:lineRule="auto"/>
        <w:jc w:val="right"/>
        <w:rPr>
          <w:b/>
          <w:bCs/>
          <w:sz w:val="26"/>
          <w:szCs w:val="26"/>
          <w:lang w:val="en-US"/>
        </w:rPr>
      </w:pPr>
      <w:r w:rsidRPr="00BB3307">
        <w:rPr>
          <w:b/>
          <w:bCs/>
          <w:sz w:val="26"/>
          <w:szCs w:val="26"/>
          <w:rtl/>
        </w:rPr>
        <w:t>ملخص</w:t>
      </w:r>
    </w:p>
    <w:p w:rsidR="00B86BF2" w:rsidRDefault="00B86BF2" w:rsidP="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line="300" w:lineRule="auto"/>
        <w:rPr>
          <w:rFonts w:asciiTheme="minorBidi" w:eastAsia="Times New Roman" w:hAnsiTheme="minorBidi"/>
          <w:color w:val="202124"/>
          <w:spacing w:val="-4"/>
          <w:sz w:val="26"/>
          <w:szCs w:val="26"/>
          <w:lang w:eastAsia="fr-FR"/>
        </w:rPr>
      </w:pPr>
      <w:r w:rsidRPr="00CA11B9">
        <w:rPr>
          <w:rFonts w:asciiTheme="minorBidi" w:eastAsia="Times New Roman" w:hAnsiTheme="minorBidi"/>
          <w:color w:val="202124"/>
          <w:spacing w:val="-4"/>
          <w:sz w:val="26"/>
          <w:szCs w:val="26"/>
          <w:rtl/>
          <w:lang w:eastAsia="fr-FR"/>
        </w:rPr>
        <w:t>تمثل تقنيات التمويل التشاركي النواة الصلبة للأعمال المصرفية الإسلامية لأنها تستند إلى مبدأ أساسي يكمن في تقاسم المخاطر والعوائد. ومع ذلك فإن أساليب التمويل هذه تولد مخاطر كبيرة للغاية يصعب إدارتها. مما يجعل البنوك الإسلامية مترددة في اللجوء إلى هذه طرق التمويل. يهدف بحثنا إلى التعرف على العوائق المختلفة التي تعيق الوساطة المالية التشاركية من خلال دراسة المخاطر المختلفة لأنماط التمويل التشاركي فضلاً عن تقنيات التخفيف منها.</w:t>
      </w:r>
      <w:r w:rsidRPr="00CA11B9">
        <w:rPr>
          <w:rFonts w:asciiTheme="minorBidi" w:eastAsia="Times New Roman" w:hAnsiTheme="minorBidi"/>
          <w:color w:val="202124"/>
          <w:spacing w:val="-4"/>
          <w:sz w:val="26"/>
          <w:szCs w:val="26"/>
          <w:lang w:eastAsia="fr-FR"/>
        </w:rPr>
        <w:t xml:space="preserve"> </w:t>
      </w:r>
      <w:r w:rsidRPr="00CA11B9">
        <w:rPr>
          <w:rFonts w:asciiTheme="minorBidi" w:eastAsia="Times New Roman" w:hAnsiTheme="minorBidi"/>
          <w:color w:val="202124"/>
          <w:spacing w:val="-4"/>
          <w:sz w:val="26"/>
          <w:szCs w:val="26"/>
          <w:rtl/>
          <w:lang w:eastAsia="fr-FR"/>
        </w:rPr>
        <w:t xml:space="preserve">في هذا </w:t>
      </w:r>
      <w:r w:rsidRPr="00CA11B9">
        <w:rPr>
          <w:rFonts w:asciiTheme="minorBidi" w:eastAsia="Times New Roman" w:hAnsiTheme="minorBidi"/>
          <w:color w:val="202124"/>
          <w:spacing w:val="-4"/>
          <w:sz w:val="26"/>
          <w:szCs w:val="26"/>
          <w:rtl/>
          <w:lang w:eastAsia="fr-FR"/>
        </w:rPr>
        <w:lastRenderedPageBreak/>
        <w:t xml:space="preserve">السياق، استندت دراستنا التجريبية إلى عينة من 79 إطار معني بإدارة المخاطر في </w:t>
      </w:r>
      <w:r w:rsidRPr="00CA11B9">
        <w:rPr>
          <w:rFonts w:asciiTheme="minorBidi" w:hAnsiTheme="minorBidi"/>
          <w:spacing w:val="-4"/>
          <w:sz w:val="26"/>
          <w:szCs w:val="26"/>
          <w:rtl/>
        </w:rPr>
        <w:t xml:space="preserve">البنوك الإسلامية في دول </w:t>
      </w:r>
      <w:r>
        <w:rPr>
          <w:rFonts w:asciiTheme="minorBidi" w:hAnsiTheme="minorBidi" w:hint="cs"/>
          <w:spacing w:val="-4"/>
          <w:sz w:val="26"/>
          <w:szCs w:val="26"/>
          <w:rtl/>
        </w:rPr>
        <w:t>مختلفة</w:t>
      </w:r>
      <w:r w:rsidRPr="00CA11B9">
        <w:rPr>
          <w:rFonts w:asciiTheme="minorBidi" w:hAnsiTheme="minorBidi"/>
          <w:spacing w:val="-4"/>
          <w:sz w:val="26"/>
          <w:szCs w:val="26"/>
          <w:rtl/>
        </w:rPr>
        <w:t xml:space="preserve"> بغية ا</w:t>
      </w:r>
      <w:r w:rsidRPr="00CA11B9">
        <w:rPr>
          <w:rFonts w:asciiTheme="minorBidi" w:eastAsia="Times New Roman" w:hAnsiTheme="minorBidi"/>
          <w:color w:val="202124"/>
          <w:spacing w:val="-4"/>
          <w:sz w:val="26"/>
          <w:szCs w:val="26"/>
          <w:rtl/>
          <w:lang w:eastAsia="fr-FR"/>
        </w:rPr>
        <w:t>لتحقق من تصوراتهم حول إدارة المخاطر المتعلقة بالمشاركة والمضاربة. مكنتنا نتائج التحليل الوصفي والإحصائي للاستبيان من توضيح الأسباب الرئيسية لعدم رغبة البنوك الإسلامية في استخدام المنتجات التشاركية واقتراح بعض الحلول لتعزيز هذا النوع من التمويل.</w:t>
      </w:r>
    </w:p>
    <w:p w:rsidR="0058527B" w:rsidRPr="0058527B" w:rsidRDefault="0058527B" w:rsidP="0058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120" w:line="300" w:lineRule="auto"/>
        <w:rPr>
          <w:rFonts w:asciiTheme="minorBidi" w:eastAsia="Times New Roman" w:hAnsiTheme="minorBidi"/>
          <w:color w:val="202124"/>
          <w:spacing w:val="-4"/>
          <w:sz w:val="26"/>
          <w:szCs w:val="26"/>
          <w:lang w:eastAsia="fr-FR"/>
        </w:rPr>
      </w:pPr>
      <w:r w:rsidRPr="0057791F">
        <w:rPr>
          <w:rFonts w:asciiTheme="majorBidi" w:hAnsiTheme="majorBidi" w:cstheme="majorBidi"/>
          <w:b/>
          <w:bCs/>
          <w:sz w:val="24"/>
          <w:szCs w:val="24"/>
          <w:rtl/>
          <w:lang w:bidi="ar-DZ"/>
        </w:rPr>
        <w:t>ال</w:t>
      </w:r>
      <w:r w:rsidRPr="0057791F">
        <w:rPr>
          <w:rFonts w:asciiTheme="majorBidi" w:hAnsiTheme="majorBidi" w:cstheme="majorBidi"/>
          <w:b/>
          <w:bCs/>
          <w:sz w:val="24"/>
          <w:szCs w:val="24"/>
          <w:rtl/>
        </w:rPr>
        <w:t>كلمات المفتاحية:</w:t>
      </w:r>
      <w:r w:rsidRPr="0058527B">
        <w:rPr>
          <w:rtl/>
        </w:rPr>
        <w:t xml:space="preserve"> </w:t>
      </w:r>
      <w:r w:rsidRPr="0058527B">
        <w:rPr>
          <w:rFonts w:asciiTheme="majorBidi" w:hAnsiTheme="majorBidi" w:cs="Times New Roman"/>
          <w:sz w:val="24"/>
          <w:szCs w:val="24"/>
          <w:rtl/>
        </w:rPr>
        <w:t>البنوك الإسلامية، تسيير المخاطر، المشاركة، المضاربة، الشركة، تقاسم الأرباح والخسائر، طرق التمويل التشاركي، المخاطر الخاصة، التمويل التشاركي، تقاسم المخاطر.</w:t>
      </w:r>
    </w:p>
    <w:p w:rsidR="00001158" w:rsidRPr="0058527B" w:rsidRDefault="00163867" w:rsidP="0057791F">
      <w:pPr>
        <w:bidi/>
        <w:spacing w:before="120" w:line="300" w:lineRule="auto"/>
        <w:rPr>
          <w:rFonts w:asciiTheme="majorBidi" w:eastAsia="Times New Roman" w:hAnsiTheme="majorBidi" w:cstheme="majorBidi"/>
          <w:color w:val="202124"/>
          <w:sz w:val="24"/>
          <w:szCs w:val="24"/>
          <w:lang w:eastAsia="fr-FR" w:bidi="ar-DZ"/>
        </w:rPr>
      </w:pPr>
      <w:bookmarkStart w:id="1" w:name="_GoBack"/>
      <w:bookmarkEnd w:id="1"/>
    </w:p>
    <w:sectPr w:rsidR="00001158" w:rsidRPr="005852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67" w:rsidRDefault="00163867" w:rsidP="00B86BF2">
      <w:pPr>
        <w:spacing w:line="240" w:lineRule="auto"/>
      </w:pPr>
      <w:r>
        <w:separator/>
      </w:r>
    </w:p>
  </w:endnote>
  <w:endnote w:type="continuationSeparator" w:id="0">
    <w:p w:rsidR="00163867" w:rsidRDefault="00163867" w:rsidP="00B86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67" w:rsidRDefault="00163867" w:rsidP="00B86BF2">
      <w:pPr>
        <w:spacing w:line="240" w:lineRule="auto"/>
      </w:pPr>
      <w:r>
        <w:separator/>
      </w:r>
    </w:p>
  </w:footnote>
  <w:footnote w:type="continuationSeparator" w:id="0">
    <w:p w:rsidR="00163867" w:rsidRDefault="00163867" w:rsidP="00B86B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E4CE9"/>
    <w:multiLevelType w:val="multilevel"/>
    <w:tmpl w:val="9B1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F2"/>
    <w:rsid w:val="00163867"/>
    <w:rsid w:val="00197CB1"/>
    <w:rsid w:val="0057791F"/>
    <w:rsid w:val="0058527B"/>
    <w:rsid w:val="00876535"/>
    <w:rsid w:val="00972B78"/>
    <w:rsid w:val="00B86BF2"/>
    <w:rsid w:val="00D6048B"/>
    <w:rsid w:val="00E567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3E3A"/>
  <w15:chartTrackingRefBased/>
  <w15:docId w15:val="{9B93150E-9B3E-4FDD-998D-D6760DD9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BF2"/>
    <w:pPr>
      <w:spacing w:after="0" w:line="276"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6BF2"/>
    <w:pPr>
      <w:tabs>
        <w:tab w:val="center" w:pos="4536"/>
        <w:tab w:val="right" w:pos="9072"/>
      </w:tabs>
      <w:spacing w:line="240" w:lineRule="auto"/>
    </w:pPr>
  </w:style>
  <w:style w:type="character" w:customStyle="1" w:styleId="En-tteCar">
    <w:name w:val="En-tête Car"/>
    <w:basedOn w:val="Policepardfaut"/>
    <w:link w:val="En-tte"/>
    <w:uiPriority w:val="99"/>
    <w:rsid w:val="00B86BF2"/>
  </w:style>
  <w:style w:type="paragraph" w:styleId="Pieddepage">
    <w:name w:val="footer"/>
    <w:basedOn w:val="Normal"/>
    <w:link w:val="PieddepageCar"/>
    <w:uiPriority w:val="99"/>
    <w:unhideWhenUsed/>
    <w:rsid w:val="00B86BF2"/>
    <w:pPr>
      <w:tabs>
        <w:tab w:val="center" w:pos="4536"/>
        <w:tab w:val="right" w:pos="9072"/>
      </w:tabs>
      <w:spacing w:line="240" w:lineRule="auto"/>
    </w:pPr>
  </w:style>
  <w:style w:type="character" w:customStyle="1" w:styleId="PieddepageCar">
    <w:name w:val="Pied de page Car"/>
    <w:basedOn w:val="Policepardfaut"/>
    <w:link w:val="Pieddepage"/>
    <w:uiPriority w:val="99"/>
    <w:rsid w:val="00B86BF2"/>
  </w:style>
  <w:style w:type="paragraph" w:styleId="PrformatHTML">
    <w:name w:val="HTML Preformatted"/>
    <w:basedOn w:val="Normal"/>
    <w:link w:val="PrformatHTMLCar"/>
    <w:uiPriority w:val="99"/>
    <w:semiHidden/>
    <w:unhideWhenUsed/>
    <w:rsid w:val="00577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7791F"/>
    <w:rPr>
      <w:rFonts w:ascii="Courier New" w:eastAsia="Times New Roman" w:hAnsi="Courier New" w:cs="Courier New"/>
      <w:sz w:val="20"/>
      <w:szCs w:val="20"/>
      <w:lang w:eastAsia="fr-FR"/>
    </w:rPr>
  </w:style>
  <w:style w:type="character" w:customStyle="1" w:styleId="y2iqfc">
    <w:name w:val="y2iqfc"/>
    <w:basedOn w:val="Policepardfaut"/>
    <w:rsid w:val="00577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05140">
      <w:bodyDiv w:val="1"/>
      <w:marLeft w:val="0"/>
      <w:marRight w:val="0"/>
      <w:marTop w:val="0"/>
      <w:marBottom w:val="0"/>
      <w:divBdr>
        <w:top w:val="none" w:sz="0" w:space="0" w:color="auto"/>
        <w:left w:val="none" w:sz="0" w:space="0" w:color="auto"/>
        <w:bottom w:val="none" w:sz="0" w:space="0" w:color="auto"/>
        <w:right w:val="none" w:sz="0" w:space="0" w:color="auto"/>
      </w:divBdr>
    </w:div>
    <w:div w:id="549418181">
      <w:bodyDiv w:val="1"/>
      <w:marLeft w:val="0"/>
      <w:marRight w:val="0"/>
      <w:marTop w:val="0"/>
      <w:marBottom w:val="0"/>
      <w:divBdr>
        <w:top w:val="none" w:sz="0" w:space="0" w:color="auto"/>
        <w:left w:val="none" w:sz="0" w:space="0" w:color="auto"/>
        <w:bottom w:val="none" w:sz="0" w:space="0" w:color="auto"/>
        <w:right w:val="none" w:sz="0" w:space="0" w:color="auto"/>
      </w:divBdr>
    </w:div>
    <w:div w:id="16697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Trust_pc_dz</dc:creator>
  <cp:keywords/>
  <dc:description/>
  <cp:lastModifiedBy>Trust_pc_dz</cp:lastModifiedBy>
  <cp:revision>3</cp:revision>
  <cp:lastPrinted>2024-11-12T13:19:00Z</cp:lastPrinted>
  <dcterms:created xsi:type="dcterms:W3CDTF">2024-11-12T11:32:00Z</dcterms:created>
  <dcterms:modified xsi:type="dcterms:W3CDTF">2024-11-12T13:26:00Z</dcterms:modified>
</cp:coreProperties>
</file>