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57" w:rsidRPr="003D4157" w:rsidRDefault="003D4157" w:rsidP="003D4157">
      <w:pPr>
        <w:spacing w:after="0" w:line="240" w:lineRule="auto"/>
        <w:ind w:firstLine="567"/>
        <w:jc w:val="lowKashida"/>
        <w:rPr>
          <w:rFonts w:ascii="Simplified Arabic" w:eastAsia="Calibri" w:hAnsi="Simplified Arabic"/>
          <w:b/>
          <w:bCs/>
          <w:color w:val="000000"/>
          <w:sz w:val="28"/>
          <w:rtl/>
          <w:lang w:bidi="ar-DZ"/>
        </w:rPr>
      </w:pPr>
      <w:proofErr w:type="gramStart"/>
      <w:r w:rsidRPr="003D4157">
        <w:rPr>
          <w:rFonts w:ascii="Simplified Arabic" w:eastAsia="Calibri" w:hAnsi="Simplified Arabic" w:hint="cs"/>
          <w:b/>
          <w:bCs/>
          <w:color w:val="000000"/>
          <w:sz w:val="28"/>
          <w:rtl/>
          <w:lang w:bidi="ar-DZ"/>
        </w:rPr>
        <w:t>الملخص</w:t>
      </w:r>
      <w:proofErr w:type="gramEnd"/>
      <w:r w:rsidRPr="003D4157">
        <w:rPr>
          <w:rFonts w:ascii="Simplified Arabic" w:eastAsia="Calibri" w:hAnsi="Simplified Arabic" w:hint="cs"/>
          <w:b/>
          <w:bCs/>
          <w:color w:val="000000"/>
          <w:sz w:val="28"/>
          <w:rtl/>
          <w:lang w:bidi="ar-DZ"/>
        </w:rPr>
        <w:t xml:space="preserve"> </w:t>
      </w:r>
    </w:p>
    <w:p w:rsidR="003D4157" w:rsidRPr="003D4157" w:rsidRDefault="003D4157" w:rsidP="003D4157">
      <w:pPr>
        <w:spacing w:after="0" w:line="240" w:lineRule="auto"/>
        <w:ind w:firstLine="567"/>
        <w:jc w:val="lowKashida"/>
        <w:rPr>
          <w:rFonts w:ascii="Simplified Arabic" w:eastAsia="Calibri" w:hAnsi="Simplified Arabic"/>
          <w:color w:val="000000"/>
          <w:w w:val="95"/>
          <w:sz w:val="28"/>
          <w:rtl/>
          <w:lang w:bidi="ar-DZ"/>
        </w:rPr>
      </w:pPr>
      <w:r w:rsidRPr="003D4157">
        <w:rPr>
          <w:rFonts w:ascii="Simplified Arabic" w:eastAsia="Calibri" w:hAnsi="Simplified Arabic" w:hint="cs"/>
          <w:color w:val="000000"/>
          <w:sz w:val="28"/>
          <w:rtl/>
          <w:lang w:bidi="ar-DZ"/>
        </w:rPr>
        <w:t>يحظى مجال الصفقات العمومية بأهمية بالغة بالنسبة للاقتصاد الوطني، وتعود هذه الأهمية لاعتبار الصفقة العمومية الطريق القانوني الذي تستخدمه الدولة  ومختلف المتعاملين من أجل انجاز المشاريع بجودة عالية بأقل التكاليف وآجال مدروسة، و</w:t>
      </w:r>
      <w:r w:rsidRPr="003D4157">
        <w:rPr>
          <w:rFonts w:ascii="Simplified Arabic" w:eastAsia="Calibri" w:hAnsi="Simplified Arabic" w:hint="cs"/>
          <w:color w:val="000000"/>
          <w:w w:val="98"/>
          <w:sz w:val="28"/>
          <w:rtl/>
          <w:lang w:bidi="ar-DZ"/>
        </w:rPr>
        <w:t>كون تمويل</w:t>
      </w:r>
      <w:r w:rsidRPr="003D4157">
        <w:rPr>
          <w:rFonts w:ascii="Simplified Arabic" w:eastAsia="Calibri" w:hAnsi="Simplified Arabic"/>
          <w:color w:val="000000"/>
          <w:w w:val="98"/>
          <w:sz w:val="28"/>
          <w:rtl/>
          <w:lang w:bidi="ar-DZ"/>
        </w:rPr>
        <w:t xml:space="preserve"> الصفقات العمومية</w:t>
      </w:r>
      <w:r w:rsidRPr="003D4157">
        <w:rPr>
          <w:rFonts w:ascii="Simplified Arabic" w:eastAsia="Calibri" w:hAnsi="Simplified Arabic" w:hint="cs"/>
          <w:color w:val="000000"/>
          <w:w w:val="98"/>
          <w:sz w:val="28"/>
          <w:rtl/>
          <w:lang w:bidi="ar-DZ"/>
        </w:rPr>
        <w:t xml:space="preserve"> يعود للخزينة العامة للدولة وجب توفير ال</w:t>
      </w:r>
      <w:r w:rsidRPr="003D4157">
        <w:rPr>
          <w:rFonts w:ascii="Simplified Arabic" w:eastAsia="Calibri" w:hAnsi="Simplified Arabic"/>
          <w:color w:val="000000"/>
          <w:w w:val="98"/>
          <w:sz w:val="28"/>
          <w:rtl/>
          <w:lang w:bidi="ar-DZ"/>
        </w:rPr>
        <w:t xml:space="preserve">حماية </w:t>
      </w:r>
      <w:r w:rsidRPr="003D4157">
        <w:rPr>
          <w:rFonts w:ascii="Simplified Arabic" w:eastAsia="Calibri" w:hAnsi="Simplified Arabic" w:hint="cs"/>
          <w:color w:val="000000"/>
          <w:w w:val="98"/>
          <w:sz w:val="28"/>
          <w:rtl/>
          <w:lang w:bidi="ar-DZ"/>
        </w:rPr>
        <w:t>ال</w:t>
      </w:r>
      <w:r w:rsidRPr="003D4157">
        <w:rPr>
          <w:rFonts w:ascii="Simplified Arabic" w:eastAsia="Calibri" w:hAnsi="Simplified Arabic"/>
          <w:color w:val="000000"/>
          <w:w w:val="98"/>
          <w:sz w:val="28"/>
          <w:rtl/>
          <w:lang w:bidi="ar-DZ"/>
        </w:rPr>
        <w:t>قانونية</w:t>
      </w:r>
      <w:r w:rsidRPr="003D4157">
        <w:rPr>
          <w:rFonts w:ascii="Simplified Arabic" w:eastAsia="Calibri" w:hAnsi="Simplified Arabic" w:hint="cs"/>
          <w:color w:val="000000"/>
          <w:w w:val="98"/>
          <w:sz w:val="28"/>
          <w:rtl/>
          <w:lang w:bidi="ar-DZ"/>
        </w:rPr>
        <w:t xml:space="preserve"> لهذه العملية عن </w:t>
      </w:r>
      <w:r w:rsidRPr="003D4157">
        <w:rPr>
          <w:rFonts w:ascii="Simplified Arabic" w:eastAsia="Calibri" w:hAnsi="Simplified Arabic"/>
          <w:color w:val="000000"/>
          <w:w w:val="98"/>
          <w:sz w:val="28"/>
          <w:rtl/>
          <w:lang w:bidi="ar-DZ"/>
        </w:rPr>
        <w:t xml:space="preserve">طريق </w:t>
      </w:r>
      <w:r w:rsidRPr="003D4157">
        <w:rPr>
          <w:rFonts w:ascii="Simplified Arabic" w:eastAsia="Calibri" w:hAnsi="Simplified Arabic"/>
          <w:color w:val="000000"/>
          <w:w w:val="95"/>
          <w:sz w:val="28"/>
          <w:rtl/>
          <w:lang w:bidi="ar-DZ"/>
        </w:rPr>
        <w:t>إيجاد</w:t>
      </w:r>
      <w:r w:rsidRPr="003D4157">
        <w:rPr>
          <w:rFonts w:ascii="Simplified Arabic" w:eastAsia="Calibri" w:hAnsi="Simplified Arabic" w:hint="cs"/>
          <w:color w:val="000000"/>
          <w:w w:val="95"/>
          <w:sz w:val="28"/>
          <w:rtl/>
          <w:lang w:bidi="ar-DZ"/>
        </w:rPr>
        <w:t xml:space="preserve"> تنظيم </w:t>
      </w:r>
      <w:r w:rsidRPr="003D4157">
        <w:rPr>
          <w:rFonts w:ascii="Simplified Arabic" w:eastAsia="Calibri" w:hAnsi="Simplified Arabic"/>
          <w:color w:val="000000"/>
          <w:w w:val="95"/>
          <w:sz w:val="28"/>
          <w:rtl/>
          <w:lang w:bidi="ar-DZ"/>
        </w:rPr>
        <w:t>قانون</w:t>
      </w:r>
      <w:r w:rsidRPr="003D4157">
        <w:rPr>
          <w:rFonts w:ascii="Simplified Arabic" w:eastAsia="Calibri" w:hAnsi="Simplified Arabic" w:hint="cs"/>
          <w:color w:val="000000"/>
          <w:w w:val="95"/>
          <w:sz w:val="28"/>
          <w:rtl/>
          <w:lang w:bidi="ar-DZ"/>
        </w:rPr>
        <w:t>ي</w:t>
      </w:r>
      <w:r w:rsidRPr="003D4157">
        <w:rPr>
          <w:rFonts w:ascii="Simplified Arabic" w:eastAsia="Calibri" w:hAnsi="Simplified Arabic"/>
          <w:color w:val="000000"/>
          <w:w w:val="95"/>
          <w:sz w:val="28"/>
          <w:rtl/>
          <w:lang w:bidi="ar-DZ"/>
        </w:rPr>
        <w:t xml:space="preserve"> خاص</w:t>
      </w:r>
      <w:r w:rsidRPr="003D4157">
        <w:rPr>
          <w:rFonts w:ascii="Simplified Arabic" w:eastAsia="Calibri" w:hAnsi="Simplified Arabic" w:hint="cs"/>
          <w:color w:val="000000"/>
          <w:w w:val="95"/>
          <w:sz w:val="28"/>
          <w:rtl/>
          <w:lang w:bidi="ar-DZ"/>
        </w:rPr>
        <w:t xml:space="preserve"> بها</w:t>
      </w:r>
      <w:r w:rsidRPr="003D4157">
        <w:rPr>
          <w:rFonts w:ascii="Simplified Arabic" w:eastAsia="Calibri" w:hAnsi="Simplified Arabic"/>
          <w:color w:val="000000"/>
          <w:w w:val="95"/>
          <w:sz w:val="28"/>
          <w:rtl/>
          <w:lang w:bidi="ar-DZ"/>
        </w:rPr>
        <w:t xml:space="preserve"> يحقق المصلحة العامة ويحترم الحرية الاقتصادية</w:t>
      </w:r>
      <w:r w:rsidRPr="003D4157">
        <w:rPr>
          <w:rFonts w:ascii="Simplified Arabic" w:eastAsia="Calibri" w:hAnsi="Simplified Arabic" w:hint="cs"/>
          <w:color w:val="000000"/>
          <w:w w:val="95"/>
          <w:sz w:val="28"/>
          <w:rtl/>
          <w:lang w:bidi="ar-DZ"/>
        </w:rPr>
        <w:t xml:space="preserve"> في ذات الوقت</w:t>
      </w:r>
      <w:r w:rsidRPr="003D4157">
        <w:rPr>
          <w:rFonts w:ascii="Simplified Arabic" w:eastAsia="Calibri" w:hAnsi="Simplified Arabic"/>
          <w:color w:val="000000"/>
          <w:w w:val="95"/>
          <w:sz w:val="28"/>
          <w:rtl/>
          <w:lang w:bidi="ar-DZ"/>
        </w:rPr>
        <w:t xml:space="preserve">، </w:t>
      </w:r>
      <w:r w:rsidRPr="003D4157">
        <w:rPr>
          <w:rFonts w:ascii="Simplified Arabic" w:eastAsia="Calibri" w:hAnsi="Simplified Arabic" w:hint="cs"/>
          <w:color w:val="000000"/>
          <w:w w:val="95"/>
          <w:sz w:val="28"/>
          <w:rtl/>
          <w:lang w:bidi="ar-DZ"/>
        </w:rPr>
        <w:t>وهو ما جسده المشرع الجزائري عمليا بإصدار المرسوم الرئاسي 15-247  الذي عرف عدة تعديلات سابقة ومواكبة لمتطلبات كل مرحلة، فالقول بالصفقة العمومية يحيل بالضرورة إلى أشخاص القانون العام أي الدولة والمؤسسات التابعة لها والقول بغير ذلك نوع من التضاد.</w:t>
      </w:r>
    </w:p>
    <w:p w:rsidR="003D4157" w:rsidRPr="003D4157" w:rsidRDefault="003D4157" w:rsidP="003D4157">
      <w:pPr>
        <w:spacing w:after="0" w:line="240" w:lineRule="auto"/>
        <w:ind w:firstLine="567"/>
        <w:jc w:val="lowKashida"/>
        <w:rPr>
          <w:rFonts w:ascii="Simplified Arabic" w:eastAsia="Calibri" w:hAnsi="Simplified Arabic"/>
          <w:color w:val="000000"/>
          <w:w w:val="95"/>
          <w:sz w:val="28"/>
          <w:rtl/>
          <w:lang w:bidi="ar-DZ"/>
        </w:rPr>
      </w:pPr>
      <w:r w:rsidRPr="003D4157">
        <w:rPr>
          <w:rFonts w:ascii="Simplified Arabic" w:eastAsia="Calibri" w:hAnsi="Simplified Arabic" w:hint="cs"/>
          <w:color w:val="000000"/>
          <w:w w:val="95"/>
          <w:sz w:val="28"/>
          <w:rtl/>
          <w:lang w:bidi="ar-DZ"/>
        </w:rPr>
        <w:t>لكن المشرع ألزم أشخاص القانون الخاص الخاضعين للتشريع التجاري بتطبيق أحكام التنظيم الصفقات العمومية في حال</w:t>
      </w:r>
      <w:r>
        <w:rPr>
          <w:rFonts w:ascii="Simplified Arabic" w:eastAsia="Calibri" w:hAnsi="Simplified Arabic" w:hint="cs"/>
          <w:color w:val="000000"/>
          <w:w w:val="95"/>
          <w:sz w:val="28"/>
          <w:rtl/>
          <w:lang w:bidi="ar-DZ"/>
        </w:rPr>
        <w:t>ات</w:t>
      </w:r>
      <w:r w:rsidRPr="003D4157">
        <w:rPr>
          <w:rFonts w:ascii="Simplified Arabic" w:eastAsia="Calibri" w:hAnsi="Simplified Arabic" w:hint="cs"/>
          <w:color w:val="000000"/>
          <w:w w:val="95"/>
          <w:sz w:val="28"/>
          <w:rtl/>
          <w:lang w:bidi="ar-DZ"/>
        </w:rPr>
        <w:t xml:space="preserve"> محددة وهي التمويل الكلي أو الجزئي للصفقة من الخزينة العمومية (الدولة</w:t>
      </w:r>
      <w:r>
        <w:rPr>
          <w:rFonts w:ascii="Simplified Arabic" w:eastAsia="Calibri" w:hAnsi="Simplified Arabic" w:hint="cs"/>
          <w:color w:val="000000"/>
          <w:w w:val="95"/>
          <w:sz w:val="28"/>
          <w:rtl/>
          <w:lang w:bidi="ar-DZ"/>
        </w:rPr>
        <w:t xml:space="preserve"> أو</w:t>
      </w:r>
      <w:r w:rsidRPr="003D4157">
        <w:rPr>
          <w:rFonts w:ascii="Simplified Arabic" w:eastAsia="Calibri" w:hAnsi="Simplified Arabic" w:hint="cs"/>
          <w:color w:val="000000"/>
          <w:w w:val="95"/>
          <w:sz w:val="28"/>
          <w:rtl/>
          <w:lang w:bidi="ar-DZ"/>
        </w:rPr>
        <w:t xml:space="preserve"> الجماعات الإقليمية) ما يخلق </w:t>
      </w:r>
      <w:proofErr w:type="spellStart"/>
      <w:r w:rsidRPr="003D4157">
        <w:rPr>
          <w:rFonts w:ascii="Simplified Arabic" w:eastAsia="Calibri" w:hAnsi="Simplified Arabic" w:hint="cs"/>
          <w:color w:val="000000"/>
          <w:w w:val="95"/>
          <w:sz w:val="28"/>
          <w:rtl/>
          <w:lang w:bidi="ar-DZ"/>
        </w:rPr>
        <w:t>اشكال</w:t>
      </w:r>
      <w:proofErr w:type="spellEnd"/>
      <w:r w:rsidRPr="003D4157">
        <w:rPr>
          <w:rFonts w:ascii="Simplified Arabic" w:eastAsia="Calibri" w:hAnsi="Simplified Arabic" w:hint="cs"/>
          <w:color w:val="000000"/>
          <w:w w:val="95"/>
          <w:sz w:val="28"/>
          <w:rtl/>
          <w:lang w:bidi="ar-DZ"/>
        </w:rPr>
        <w:t xml:space="preserve"> أي قانون يطبق في حالة النزاع وبالنتيجة  أي  هرم قضائي  هو المختص في البت في منازعة  أحد أطرافها أشخاص القانون الخاص ،وكذا حالات التمويل وتجسيدها عمليا، </w:t>
      </w:r>
      <w:proofErr w:type="spellStart"/>
      <w:r w:rsidRPr="003D4157">
        <w:rPr>
          <w:rFonts w:ascii="Simplified Arabic" w:eastAsia="Calibri" w:hAnsi="Simplified Arabic" w:hint="cs"/>
          <w:color w:val="000000"/>
          <w:w w:val="95"/>
          <w:sz w:val="28"/>
          <w:rtl/>
          <w:lang w:bidi="ar-DZ"/>
        </w:rPr>
        <w:t>اضافة</w:t>
      </w:r>
      <w:proofErr w:type="spellEnd"/>
      <w:r w:rsidRPr="003D4157">
        <w:rPr>
          <w:rFonts w:ascii="Simplified Arabic" w:eastAsia="Calibri" w:hAnsi="Simplified Arabic" w:hint="cs"/>
          <w:color w:val="000000"/>
          <w:w w:val="95"/>
          <w:sz w:val="28"/>
          <w:rtl/>
          <w:lang w:bidi="ar-DZ"/>
        </w:rPr>
        <w:t xml:space="preserve"> إلى  دور الوسائل الودية المنصوص عليها في كل من تنظيم الصفقات العمومية أو قانون الإجراءات المدنية في حل المنازعات وتجسيد المشاريع واقعيا. </w:t>
      </w:r>
    </w:p>
    <w:p w:rsidR="003D4157" w:rsidRPr="003D4157" w:rsidRDefault="003D4157" w:rsidP="003D4157">
      <w:pPr>
        <w:spacing w:after="0"/>
        <w:jc w:val="lowKashida"/>
        <w:rPr>
          <w:rFonts w:ascii="Simplified Arabic" w:eastAsia="Calibri" w:hAnsi="Simplified Arabic"/>
          <w:color w:val="000000"/>
          <w:sz w:val="28"/>
          <w:rtl/>
          <w:lang w:bidi="ar-DZ"/>
        </w:rPr>
      </w:pPr>
      <w:r w:rsidRPr="003D4157">
        <w:rPr>
          <w:rFonts w:eastAsia="Calibri" w:hint="cs"/>
          <w:b/>
          <w:bCs/>
          <w:i/>
          <w:iCs/>
          <w:color w:val="000000"/>
          <w:sz w:val="28"/>
          <w:rtl/>
          <w:lang w:bidi="ar-DZ"/>
        </w:rPr>
        <w:t xml:space="preserve">الكلمات </w:t>
      </w:r>
      <w:proofErr w:type="spellStart"/>
      <w:r w:rsidRPr="003D4157">
        <w:rPr>
          <w:rFonts w:eastAsia="Calibri" w:hint="cs"/>
          <w:b/>
          <w:bCs/>
          <w:i/>
          <w:iCs/>
          <w:color w:val="000000"/>
          <w:sz w:val="28"/>
          <w:rtl/>
          <w:lang w:bidi="ar-DZ"/>
        </w:rPr>
        <w:t>المفتاحية</w:t>
      </w:r>
      <w:proofErr w:type="spellEnd"/>
      <w:r w:rsidRPr="003D4157">
        <w:rPr>
          <w:rFonts w:eastAsia="Calibri" w:hint="cs"/>
          <w:b/>
          <w:bCs/>
          <w:i/>
          <w:iCs/>
          <w:color w:val="000000"/>
          <w:sz w:val="28"/>
          <w:rtl/>
          <w:lang w:bidi="ar-DZ"/>
        </w:rPr>
        <w:t>:</w:t>
      </w:r>
      <w:r w:rsidRPr="003D4157">
        <w:rPr>
          <w:rFonts w:ascii="Simplified Arabic" w:eastAsia="Calibri" w:hAnsi="Simplified Arabic" w:hint="cs"/>
          <w:color w:val="000000"/>
          <w:sz w:val="28"/>
          <w:rtl/>
          <w:lang w:bidi="ar-DZ"/>
        </w:rPr>
        <w:t xml:space="preserve"> مؤسسة عمومية تجارية وصناعية، صفقة، تنازع الاختصاص القضائي، الطرق الودية، تمويل من قبل الخزينة.</w:t>
      </w:r>
    </w:p>
    <w:p w:rsidR="00F45FC0" w:rsidRDefault="00F45FC0" w:rsidP="00F45FC0">
      <w:pPr>
        <w:bidi w:val="0"/>
        <w:spacing w:before="240" w:after="0"/>
        <w:ind w:firstLine="566"/>
        <w:rPr>
          <w:rFonts w:eastAsia="Calibri"/>
          <w:b/>
          <w:bCs/>
          <w:color w:val="000000"/>
          <w:sz w:val="20"/>
          <w:szCs w:val="20"/>
          <w:lang w:val="fr-FR" w:bidi="ar-DZ"/>
        </w:rPr>
      </w:pPr>
      <w:r>
        <w:rPr>
          <w:rFonts w:eastAsia="Calibri"/>
          <w:b/>
          <w:bCs/>
          <w:color w:val="000000"/>
          <w:sz w:val="20"/>
          <w:szCs w:val="20"/>
          <w:lang w:val="fr-FR" w:bidi="ar-DZ"/>
        </w:rPr>
        <w:t>Résumé</w:t>
      </w:r>
    </w:p>
    <w:p w:rsidR="00F45FC0" w:rsidRDefault="00F45FC0" w:rsidP="00F45FC0">
      <w:pPr>
        <w:bidi w:val="0"/>
        <w:spacing w:after="0" w:line="240" w:lineRule="auto"/>
        <w:ind w:firstLine="284"/>
        <w:rPr>
          <w:rFonts w:eastAsia="Calibri" w:cs="Times New Roman"/>
          <w:color w:val="000000"/>
          <w:sz w:val="18"/>
          <w:szCs w:val="18"/>
          <w:lang w:val="fr-FR" w:bidi="ar-DZ"/>
        </w:rPr>
      </w:pPr>
      <w:r>
        <w:rPr>
          <w:rFonts w:eastAsia="Calibri" w:cs="Times New Roman"/>
          <w:color w:val="000000"/>
          <w:sz w:val="18"/>
          <w:szCs w:val="18"/>
          <w:lang w:val="fr-FR" w:bidi="ar-DZ"/>
        </w:rPr>
        <w:t>Le domaine des marchés publics occupe une grande place dans l’économie nationale ; cela est dû au fait qu’un marché public est considéré comme la voie légale utilisée par l’État et les différents partenaires pour réaliser des projets au moindre coût et dans des délais raisonnés.</w:t>
      </w:r>
    </w:p>
    <w:p w:rsidR="00F45FC0" w:rsidRDefault="00F45FC0" w:rsidP="00F45FC0">
      <w:pPr>
        <w:bidi w:val="0"/>
        <w:spacing w:after="0" w:line="240" w:lineRule="auto"/>
        <w:ind w:firstLine="284"/>
        <w:rPr>
          <w:rFonts w:eastAsia="Calibri" w:cs="Times New Roman"/>
          <w:color w:val="000000"/>
          <w:sz w:val="18"/>
          <w:szCs w:val="18"/>
          <w:lang w:val="fr-FR" w:bidi="ar-DZ"/>
        </w:rPr>
      </w:pPr>
      <w:r>
        <w:rPr>
          <w:rFonts w:eastAsia="Calibri" w:cs="Times New Roman"/>
          <w:color w:val="000000"/>
          <w:sz w:val="18"/>
          <w:szCs w:val="18"/>
          <w:lang w:val="fr-FR" w:bidi="ar-DZ"/>
        </w:rPr>
        <w:t xml:space="preserve">Comme le financement des marchés publics relève du Trésor public, l’état est tenu d’assurer la protection juridique de ce processus en créant sa propre organisation juridique dans l’intérêt public tout en respectant la liberté économique, c’est ce que le législateur algérien a matérialisé, dans la pratique, par la promulgation du décret présidentiel n°15-274 qui a connu plusieurs modifications aux fins de </w:t>
      </w:r>
      <w:proofErr w:type="spellStart"/>
      <w:r>
        <w:rPr>
          <w:rFonts w:eastAsia="Calibri" w:cs="Times New Roman"/>
          <w:color w:val="000000"/>
          <w:sz w:val="18"/>
          <w:szCs w:val="18"/>
          <w:lang w:val="fr-FR" w:bidi="ar-DZ"/>
        </w:rPr>
        <w:t>de</w:t>
      </w:r>
      <w:proofErr w:type="spellEnd"/>
      <w:r>
        <w:rPr>
          <w:rFonts w:eastAsia="Calibri" w:cs="Times New Roman"/>
          <w:color w:val="000000"/>
          <w:sz w:val="18"/>
          <w:szCs w:val="18"/>
          <w:lang w:val="fr-FR" w:bidi="ar-DZ"/>
        </w:rPr>
        <w:t xml:space="preserve"> répondre aux exigences de chaque étape. Dire « Marché Public » renvoie nécessairement aux entités du droit commun, à savoir, l’état et ses institutions et affirmer les choses autrement serait une forme de contradiction. </w:t>
      </w:r>
    </w:p>
    <w:p w:rsidR="00F45FC0" w:rsidRDefault="00F45FC0" w:rsidP="00F45FC0">
      <w:pPr>
        <w:bidi w:val="0"/>
        <w:spacing w:after="0" w:line="240" w:lineRule="auto"/>
        <w:ind w:firstLine="284"/>
        <w:rPr>
          <w:rFonts w:eastAsia="Calibri" w:cs="Times New Roman"/>
          <w:color w:val="000000"/>
          <w:sz w:val="18"/>
          <w:szCs w:val="18"/>
          <w:lang w:val="fr-FR" w:bidi="ar-DZ"/>
        </w:rPr>
      </w:pPr>
    </w:p>
    <w:p w:rsidR="00F45FC0" w:rsidRDefault="00F45FC0" w:rsidP="00F45FC0">
      <w:pPr>
        <w:bidi w:val="0"/>
        <w:spacing w:after="0" w:line="240" w:lineRule="auto"/>
        <w:ind w:firstLine="284"/>
        <w:rPr>
          <w:rFonts w:eastAsia="Calibri" w:cs="Times New Roman"/>
          <w:color w:val="000000"/>
          <w:sz w:val="18"/>
          <w:szCs w:val="18"/>
          <w:lang w:val="fr-FR" w:bidi="ar-DZ"/>
        </w:rPr>
      </w:pPr>
      <w:r>
        <w:rPr>
          <w:rFonts w:eastAsia="Calibri" w:cs="Times New Roman"/>
          <w:color w:val="000000"/>
          <w:sz w:val="18"/>
          <w:szCs w:val="18"/>
          <w:lang w:val="fr-FR" w:bidi="ar-DZ"/>
        </w:rPr>
        <w:t>Toutefois, le législateur a engagé les entités du droit privé soumis à la législation commerciale dans l’application des dispositions de la réglementation des marchés publics dans un cas spécifique, à savoir, le financement total ou partiel du marché à partir du trésor public (États et/ou collectivités territoriales) ; de cela est issue une loi applicable en cas de conflit, avec pour conséquence, toute pyramide judiciaire compétente pour statuer sur un litige relevant en partie du droit privé, dans les cas de leur financement et matérialisation pratique, ainsi que lorsqu’il s’agit du rôle des moyens de règlement à l’amiable prévus aussi bien par la réglementation des marchés publics que par le Code de procédure civile dans la résolution des litiges et la réalisation concrète  des projets.</w:t>
      </w:r>
    </w:p>
    <w:p w:rsidR="00F45FC0" w:rsidRDefault="00F45FC0" w:rsidP="00F45FC0">
      <w:pPr>
        <w:bidi w:val="0"/>
        <w:spacing w:after="0" w:line="240" w:lineRule="auto"/>
        <w:ind w:firstLine="284"/>
        <w:rPr>
          <w:rFonts w:eastAsia="Calibri" w:cs="Times New Roman"/>
          <w:color w:val="000000"/>
          <w:sz w:val="18"/>
          <w:szCs w:val="18"/>
          <w:lang w:val="fr-FR" w:bidi="ar-DZ"/>
        </w:rPr>
      </w:pPr>
    </w:p>
    <w:p w:rsidR="00F45FC0" w:rsidRDefault="00F45FC0" w:rsidP="00F45FC0">
      <w:pPr>
        <w:bidi w:val="0"/>
        <w:spacing w:after="0" w:line="240" w:lineRule="auto"/>
        <w:ind w:firstLine="567"/>
        <w:rPr>
          <w:rFonts w:eastAsia="Calibri"/>
          <w:i/>
          <w:iCs/>
          <w:color w:val="000000"/>
          <w:sz w:val="18"/>
          <w:szCs w:val="18"/>
          <w:lang w:val="fr-FR" w:bidi="ar-DZ"/>
        </w:rPr>
      </w:pPr>
      <w:r>
        <w:rPr>
          <w:rFonts w:eastAsia="Calibri" w:cs="Times New Roman"/>
          <w:b/>
          <w:bCs/>
          <w:i/>
          <w:iCs/>
          <w:color w:val="000000"/>
          <w:sz w:val="18"/>
          <w:szCs w:val="18"/>
          <w:u w:val="single"/>
          <w:lang w:val="fr-FR" w:bidi="ar-DZ"/>
        </w:rPr>
        <w:t>Les mots clés</w:t>
      </w:r>
      <w:r>
        <w:rPr>
          <w:rFonts w:eastAsia="Calibri" w:cs="Times New Roman"/>
          <w:color w:val="000000"/>
          <w:sz w:val="18"/>
          <w:szCs w:val="18"/>
          <w:lang w:val="fr-FR" w:bidi="ar-DZ"/>
        </w:rPr>
        <w:t xml:space="preserve"> : </w:t>
      </w:r>
      <w:r>
        <w:rPr>
          <w:rFonts w:eastAsia="Calibri" w:cs="Times New Roman"/>
          <w:i/>
          <w:iCs/>
          <w:color w:val="000000"/>
          <w:sz w:val="18"/>
          <w:szCs w:val="18"/>
          <w:lang w:val="fr-FR" w:bidi="ar-DZ"/>
        </w:rPr>
        <w:t>Entreprise Publique Commerciale et Industrielle ; Marché- Conflit des compétences judiciaires ; Moyens de règlement à l’amiable ; Financement par le trésor.</w:t>
      </w:r>
    </w:p>
    <w:p w:rsidR="00F45FC0" w:rsidRDefault="00F45FC0" w:rsidP="00F45FC0">
      <w:pPr>
        <w:bidi w:val="0"/>
        <w:spacing w:before="240" w:after="0" w:line="240" w:lineRule="auto"/>
        <w:ind w:firstLine="566"/>
        <w:rPr>
          <w:rFonts w:eastAsia="Calibri"/>
          <w:b/>
          <w:bCs/>
          <w:color w:val="000000"/>
          <w:sz w:val="20"/>
          <w:szCs w:val="20"/>
          <w:lang w:bidi="ar-DZ"/>
        </w:rPr>
      </w:pPr>
      <w:r>
        <w:rPr>
          <w:rFonts w:eastAsia="Calibri"/>
          <w:b/>
          <w:bCs/>
          <w:color w:val="000000"/>
          <w:sz w:val="20"/>
          <w:szCs w:val="20"/>
          <w:lang w:bidi="ar-DZ"/>
        </w:rPr>
        <w:t>Abstract</w:t>
      </w:r>
    </w:p>
    <w:p w:rsidR="00F45FC0" w:rsidRDefault="00F45FC0" w:rsidP="00F45FC0">
      <w:pPr>
        <w:bidi w:val="0"/>
        <w:spacing w:after="0" w:line="240" w:lineRule="auto"/>
        <w:ind w:firstLine="284"/>
        <w:rPr>
          <w:rFonts w:eastAsia="Calibri" w:cs="Times New Roman"/>
          <w:color w:val="000000"/>
          <w:sz w:val="18"/>
          <w:szCs w:val="18"/>
          <w:lang w:bidi="ar-DZ"/>
        </w:rPr>
      </w:pPr>
      <w:r>
        <w:rPr>
          <w:rFonts w:eastAsia="Calibri" w:cs="Times New Roman"/>
          <w:color w:val="000000"/>
          <w:sz w:val="18"/>
          <w:szCs w:val="18"/>
          <w:lang w:bidi="ar-DZ"/>
        </w:rPr>
        <w:t>The field of public procurement occupies a major place in the national economy; this is due to the fact that a public procurement is considered to be the legal way used by the State and the various partners to carry out projects at the lowest cost and within reasonable deadlines.</w:t>
      </w:r>
    </w:p>
    <w:p w:rsidR="00F45FC0" w:rsidRDefault="00F45FC0" w:rsidP="00F45FC0">
      <w:pPr>
        <w:bidi w:val="0"/>
        <w:spacing w:after="0" w:line="240" w:lineRule="auto"/>
        <w:ind w:firstLine="284"/>
        <w:rPr>
          <w:rFonts w:eastAsia="Calibri" w:cs="Times New Roman"/>
          <w:color w:val="000000"/>
          <w:sz w:val="18"/>
          <w:szCs w:val="18"/>
          <w:lang w:bidi="ar-DZ"/>
        </w:rPr>
      </w:pPr>
      <w:r>
        <w:rPr>
          <w:rFonts w:eastAsia="Calibri" w:cs="Times New Roman"/>
          <w:color w:val="000000"/>
          <w:sz w:val="18"/>
          <w:szCs w:val="18"/>
          <w:lang w:bidi="ar-DZ"/>
        </w:rPr>
        <w:t xml:space="preserve">As the financing of public procurement is the responsibility of the Treasury, the State is required to ensure the legal protection of this process by creating its own legal organization in the public interest while respecting economic freedom, this is what the Algerian legislator materialized, in practice, by the promulgation of presidential decree No. 15-274 which has </w:t>
      </w:r>
      <w:r>
        <w:rPr>
          <w:rFonts w:eastAsia="Calibri" w:cs="Times New Roman"/>
          <w:color w:val="000000"/>
          <w:sz w:val="18"/>
          <w:szCs w:val="18"/>
          <w:lang w:bidi="ar-DZ"/>
        </w:rPr>
        <w:lastRenderedPageBreak/>
        <w:t xml:space="preserve">undergone several modifications in order to meet the requirements of each stage. To say "Public Procurement" necessarily refers to the entities of common law, namely, the state and its institutions and to affirm things otherwise would be a form of contradiction. </w:t>
      </w:r>
    </w:p>
    <w:p w:rsidR="00F45FC0" w:rsidRDefault="00F45FC0" w:rsidP="00F45FC0">
      <w:pPr>
        <w:bidi w:val="0"/>
        <w:spacing w:after="0" w:line="240" w:lineRule="auto"/>
        <w:ind w:firstLine="284"/>
        <w:rPr>
          <w:rFonts w:eastAsia="Calibri" w:cs="Times New Roman" w:hint="cs"/>
          <w:color w:val="000000"/>
          <w:sz w:val="18"/>
          <w:szCs w:val="18"/>
          <w:rtl/>
          <w:lang w:bidi="ar-DZ"/>
        </w:rPr>
      </w:pPr>
    </w:p>
    <w:p w:rsidR="00F45FC0" w:rsidRDefault="00F45FC0" w:rsidP="00F45FC0">
      <w:pPr>
        <w:bidi w:val="0"/>
        <w:spacing w:after="0" w:line="240" w:lineRule="auto"/>
        <w:ind w:firstLine="284"/>
        <w:rPr>
          <w:rFonts w:eastAsia="Calibri" w:cs="Times New Roman" w:hint="cs"/>
          <w:color w:val="000000"/>
          <w:sz w:val="18"/>
          <w:szCs w:val="18"/>
          <w:rtl/>
          <w:lang w:bidi="ar-DZ"/>
        </w:rPr>
      </w:pPr>
      <w:r>
        <w:rPr>
          <w:rFonts w:eastAsia="Calibri" w:cs="Times New Roman"/>
          <w:color w:val="000000"/>
          <w:sz w:val="18"/>
          <w:szCs w:val="18"/>
          <w:lang w:bidi="ar-DZ"/>
        </w:rPr>
        <w:t>However, the legislator has committed the private law entities subject to commercial law to apply the provisions of the public procurement regulation in a specific case, namely, the total or partial financing of the contract from the public treasury (States and/or territorial authorities); from this comes a law applicable in case of conflict, with the consequence, any judicial pyramid competent to rule on a dispute falling partly under private law, in cases of their financing and practical materialization, and when it concerns the role of the means of amicable settlement provided for by the regulation of public contracts as well as by the Code of Civil Procedure in the resolution of disputes and the concrete implementation of projects.</w:t>
      </w:r>
    </w:p>
    <w:p w:rsidR="00F45FC0" w:rsidRDefault="00F45FC0" w:rsidP="00F45FC0">
      <w:pPr>
        <w:bidi w:val="0"/>
        <w:spacing w:after="0"/>
        <w:ind w:firstLine="284"/>
        <w:rPr>
          <w:rFonts w:eastAsia="Calibri" w:cs="Times New Roman"/>
          <w:color w:val="000000"/>
          <w:sz w:val="18"/>
          <w:szCs w:val="18"/>
          <w:lang w:bidi="ar-DZ"/>
        </w:rPr>
      </w:pPr>
    </w:p>
    <w:p w:rsidR="00F45FC0" w:rsidRDefault="00F45FC0" w:rsidP="00F45FC0">
      <w:pPr>
        <w:bidi w:val="0"/>
        <w:spacing w:after="0"/>
        <w:ind w:firstLine="567"/>
        <w:rPr>
          <w:rFonts w:ascii="Cambria" w:eastAsia="Calibri" w:hAnsi="Cambria"/>
          <w:color w:val="000000"/>
          <w:sz w:val="18"/>
          <w:szCs w:val="18"/>
          <w:lang w:bidi="ar-DZ"/>
        </w:rPr>
      </w:pPr>
      <w:r>
        <w:rPr>
          <w:rFonts w:eastAsia="Calibri"/>
          <w:b/>
          <w:bCs/>
          <w:i/>
          <w:iCs/>
          <w:color w:val="000000"/>
          <w:sz w:val="18"/>
          <w:szCs w:val="18"/>
          <w:u w:val="single"/>
          <w:lang w:bidi="ar-DZ"/>
        </w:rPr>
        <w:t>Keywords</w:t>
      </w:r>
      <w:r>
        <w:rPr>
          <w:rFonts w:eastAsia="Calibri"/>
          <w:i/>
          <w:iCs/>
          <w:color w:val="000000"/>
          <w:sz w:val="18"/>
          <w:szCs w:val="18"/>
          <w:lang w:bidi="ar-DZ"/>
        </w:rPr>
        <w:t>:</w:t>
      </w:r>
      <w:r>
        <w:rPr>
          <w:rFonts w:eastAsia="Calibri" w:cs="Times New Roman"/>
          <w:color w:val="000000"/>
          <w:sz w:val="18"/>
          <w:szCs w:val="18"/>
          <w:lang w:bidi="ar-DZ"/>
        </w:rPr>
        <w:t xml:space="preserve"> Industrial, commercial and public company; Market; Conflict of judicial competences; Means of amicable settlement; Financing by treasury.</w:t>
      </w:r>
    </w:p>
    <w:p w:rsidR="00F45FC0" w:rsidRDefault="00F45FC0" w:rsidP="00F45FC0">
      <w:pPr>
        <w:widowControl w:val="0"/>
        <w:spacing w:after="0"/>
        <w:jc w:val="left"/>
        <w:rPr>
          <w:b/>
          <w:bCs/>
          <w:sz w:val="22"/>
          <w:szCs w:val="24"/>
          <w:rtl/>
          <w:lang w:val="fr-FR" w:bidi="ar-DZ"/>
        </w:rPr>
      </w:pPr>
    </w:p>
    <w:p w:rsidR="000013B1" w:rsidRPr="003D4157" w:rsidRDefault="000013B1">
      <w:pPr>
        <w:rPr>
          <w:sz w:val="28"/>
          <w:lang w:bidi="ar-DZ"/>
        </w:rPr>
      </w:pPr>
    </w:p>
    <w:sectPr w:rsidR="000013B1" w:rsidRPr="003D4157" w:rsidSect="000013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D4157"/>
    <w:rsid w:val="000013B1"/>
    <w:rsid w:val="003D4157"/>
    <w:rsid w:val="006C4F87"/>
    <w:rsid w:val="00F45F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النص"/>
    <w:qFormat/>
    <w:rsid w:val="003D4157"/>
    <w:pPr>
      <w:bidi/>
      <w:spacing w:after="120"/>
      <w:jc w:val="both"/>
    </w:pPr>
    <w:rPr>
      <w:rFonts w:ascii="Times New Roman" w:hAnsi="Times New Roman" w:cs="Simplified Arabic"/>
      <w:color w:val="000000" w:themeColor="text1"/>
      <w:sz w:val="24"/>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55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4239</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2024-11-10T04:37:00Z</dcterms:created>
  <dcterms:modified xsi:type="dcterms:W3CDTF">2024-11-10T08:59:00Z</dcterms:modified>
</cp:coreProperties>
</file>