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 d’ordre</w:t>
      </w:r>
    </w:p>
    <w:p>
      <w:pPr>
        <w:autoSpaceDE w:val="0"/>
        <w:autoSpaceDN w:val="0"/>
        <w:adjustRightInd w:val="0"/>
        <w:spacing w:after="0" w:line="240" w:lineRule="auto"/>
        <w:jc w:val="center"/>
        <w:rPr>
          <w:rFonts w:ascii="Times New Roman" w:hAnsi="Times New Roman" w:cs="Times New Roman"/>
          <w:sz w:val="24"/>
          <w:szCs w:val="24"/>
        </w:rPr>
      </w:pPr>
    </w:p>
    <w:p>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République Algérienne Démocratique et Populaire</w:t>
      </w:r>
    </w:p>
    <w:p>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Ministère de l’Enseignement Supérieur et de la Recherche Scientifique</w:t>
      </w:r>
    </w:p>
    <w:p>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Université d’Oran02Mohamed BENAHMED</w:t>
      </w:r>
    </w:p>
    <w:p>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Faculté des Sciences de la Terre et de l’Univers</w:t>
      </w:r>
    </w:p>
    <w:p>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Département des Sciences de la Terre</w:t>
      </w:r>
    </w:p>
    <w:p>
      <w:pPr>
        <w:jc w:val="center"/>
        <w:rPr>
          <w:rFonts w:ascii="Times New Roman" w:hAnsi="Times New Roman" w:cs="Times New Roman"/>
          <w:sz w:val="24"/>
          <w:szCs w:val="24"/>
        </w:rPr>
      </w:pPr>
    </w:p>
    <w:p>
      <w:pPr>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sz w:val="24"/>
          <w:szCs w:val="24"/>
          <w:lang w:eastAsia="fr-FR"/>
        </w:rPr>
        <w:drawing>
          <wp:anchor distT="0" distB="0" distL="114300" distR="114300" simplePos="0" relativeHeight="251660288" behindDoc="0" locked="0" layoutInCell="1" allowOverlap="1">
            <wp:simplePos x="0" y="0"/>
            <wp:positionH relativeFrom="column">
              <wp:posOffset>5233035</wp:posOffset>
            </wp:positionH>
            <wp:positionV relativeFrom="paragraph">
              <wp:posOffset>-4445</wp:posOffset>
            </wp:positionV>
            <wp:extent cx="1076325" cy="1076325"/>
            <wp:effectExtent l="19050" t="0" r="9525" b="0"/>
            <wp:wrapSquare wrapText="bothSides"/>
            <wp:docPr id="7" name="Image 4" descr="C:\Users\belaribi med\Desktop\image\O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4" descr="C:\Users\belaribi med\Desktop\image\ORAN.PNG"/>
                    <pic:cNvPicPr>
                      <a:picLocks noChangeAspect="1" noChangeArrowheads="1"/>
                    </pic:cNvPicPr>
                  </pic:nvPicPr>
                  <pic:blipFill>
                    <a:blip r:embed="rId6"/>
                    <a:srcRect/>
                    <a:stretch>
                      <a:fillRect/>
                    </a:stretch>
                  </pic:blipFill>
                  <pic:spPr>
                    <a:xfrm>
                      <a:off x="0" y="0"/>
                      <a:ext cx="1076325" cy="1076325"/>
                    </a:xfrm>
                    <a:prstGeom prst="rect">
                      <a:avLst/>
                    </a:prstGeom>
                    <a:noFill/>
                    <a:ln w="9525">
                      <a:noFill/>
                      <a:miter lim="800000"/>
                      <a:headEnd/>
                      <a:tailEnd/>
                    </a:ln>
                  </pic:spPr>
                </pic:pic>
              </a:graphicData>
            </a:graphic>
          </wp:anchor>
        </w:drawing>
      </w:r>
      <w:r>
        <w:rPr>
          <w:rFonts w:ascii="Times New Roman" w:hAnsi="Times New Roman" w:cs="Times New Roman"/>
          <w:sz w:val="24"/>
          <w:szCs w:val="24"/>
          <w:lang w:eastAsia="fr-FR"/>
        </w:rPr>
        <w:drawing>
          <wp:anchor distT="0" distB="0" distL="114300" distR="114300" simplePos="0" relativeHeight="251659264" behindDoc="0" locked="0" layoutInCell="1" allowOverlap="1">
            <wp:simplePos x="0" y="0"/>
            <wp:positionH relativeFrom="column">
              <wp:posOffset>-215265</wp:posOffset>
            </wp:positionH>
            <wp:positionV relativeFrom="paragraph">
              <wp:align>top</wp:align>
            </wp:positionV>
            <wp:extent cx="1076325" cy="1076325"/>
            <wp:effectExtent l="19050" t="0" r="9525" b="0"/>
            <wp:wrapSquare wrapText="bothSides"/>
            <wp:docPr id="5" name="Image 4" descr="C:\Users\belaribi med\Desktop\image\O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C:\Users\belaribi med\Desktop\image\ORAN.PNG"/>
                    <pic:cNvPicPr>
                      <a:picLocks noChangeAspect="1" noChangeArrowheads="1"/>
                    </pic:cNvPicPr>
                  </pic:nvPicPr>
                  <pic:blipFill>
                    <a:blip r:embed="rId6"/>
                    <a:srcRect/>
                    <a:stretch>
                      <a:fillRect/>
                    </a:stretch>
                  </pic:blipFill>
                  <pic:spPr>
                    <a:xfrm>
                      <a:off x="0" y="0"/>
                      <a:ext cx="1076325" cy="1076325"/>
                    </a:xfrm>
                    <a:prstGeom prst="rect">
                      <a:avLst/>
                    </a:prstGeom>
                    <a:noFill/>
                    <a:ln w="9525">
                      <a:noFill/>
                      <a:miter lim="800000"/>
                      <a:headEnd/>
                      <a:tailEnd/>
                    </a:ln>
                  </pic:spPr>
                </pic:pic>
              </a:graphicData>
            </a:graphic>
          </wp:anchor>
        </w:drawing>
      </w:r>
      <w:r>
        <w:rPr>
          <w:rFonts w:ascii="Times New Roman" w:hAnsi="Times New Roman" w:cs="Times New Roman"/>
          <w:b/>
          <w:bCs/>
          <w:sz w:val="24"/>
          <w:szCs w:val="24"/>
        </w:rPr>
        <w:t>Mémoire</w:t>
      </w:r>
    </w:p>
    <w:p>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Présenté pour l’obtention du grade</w:t>
      </w:r>
    </w:p>
    <w:p>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Master II en Géologie</w:t>
      </w:r>
    </w:p>
    <w:p>
      <w:pPr>
        <w:tabs>
          <w:tab w:val="left" w:pos="222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Option : </w:t>
      </w:r>
      <w:r>
        <w:rPr>
          <w:rFonts w:ascii="Times New Roman" w:hAnsi="Times New Roman" w:cs="Times New Roman"/>
          <w:b/>
          <w:bCs/>
          <w:sz w:val="24"/>
          <w:szCs w:val="24"/>
        </w:rPr>
        <w:t>Eaux Souterraines et Environnement</w:t>
      </w:r>
    </w:p>
    <w:p>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                                           </w:t>
      </w:r>
    </w:p>
    <w:p>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                                       </w:t>
      </w:r>
    </w:p>
    <w:p>
      <w:pPr>
        <w:autoSpaceDE w:val="0"/>
        <w:autoSpaceDN w:val="0"/>
        <w:adjustRightInd w:val="0"/>
        <w:spacing w:after="0" w:line="240" w:lineRule="auto"/>
        <w:rPr>
          <w:rFonts w:ascii="Times New Roman" w:hAnsi="Times New Roman" w:cs="Times New Roman"/>
          <w:b/>
          <w:bCs/>
          <w:sz w:val="24"/>
          <w:szCs w:val="24"/>
        </w:rPr>
      </w:pPr>
    </w:p>
    <w:p>
      <w:pPr>
        <w:autoSpaceDE w:val="0"/>
        <w:autoSpaceDN w:val="0"/>
        <w:adjustRightInd w:val="0"/>
        <w:spacing w:after="0" w:line="240" w:lineRule="auto"/>
        <w:rPr>
          <w:rFonts w:ascii="Times New Roman" w:hAnsi="Times New Roman" w:cs="Times New Roman"/>
          <w:b/>
          <w:bCs/>
          <w:sz w:val="24"/>
          <w:szCs w:val="24"/>
        </w:rPr>
      </w:pPr>
    </w:p>
    <w:p>
      <w:pPr>
        <w:autoSpaceDE w:val="0"/>
        <w:autoSpaceDN w:val="0"/>
        <w:adjustRightInd w:val="0"/>
        <w:spacing w:after="0" w:line="240" w:lineRule="auto"/>
        <w:rPr>
          <w:rFonts w:ascii="Times New Roman" w:hAnsi="Times New Roman" w:cs="Times New Roman"/>
          <w:b/>
          <w:bCs/>
          <w:sz w:val="26"/>
          <w:szCs w:val="26"/>
        </w:rPr>
      </w:pPr>
      <w:r>
        <w:rPr>
          <w:rFonts w:ascii="Times New Roman" w:hAnsi="Times New Roman" w:cs="Times New Roman"/>
          <w:b/>
          <w:bCs/>
          <w:sz w:val="26"/>
          <w:szCs w:val="26"/>
        </w:rPr>
        <w:t>Thème :</w:t>
      </w:r>
    </w:p>
    <w:p>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lang w:eastAsia="fr-FR"/>
        </w:rPr>
        <w:pict>
          <v:roundrect id="_x0000_s2050" o:spid="_x0000_s2050" o:spt="2" style="position:absolute;left:0pt;margin-left:17.55pt;margin-top:4.25pt;height:80.95pt;width:445.9pt;z-index:251661312;mso-width-relative:page;mso-height-relative:page;" fillcolor="#FFFFFF" filled="t" stroked="t" coordsize="21600,21600" arcsize="0.166666666666667">
            <v:path/>
            <v:fill on="t" focussize="0,0"/>
            <v:stroke weight="2.5pt" color="#4F81BD"/>
            <v:imagedata o:title=""/>
            <o:lock v:ext="edit"/>
            <v:textbox>
              <w:txbxContent>
                <w:p>
                  <w:pPr>
                    <w:spacing w:after="0" w:line="360" w:lineRule="auto"/>
                    <w:jc w:val="center"/>
                    <w:rPr>
                      <w:sz w:val="28"/>
                      <w:szCs w:val="28"/>
                    </w:rPr>
                  </w:pPr>
                  <w:r>
                    <w:rPr>
                      <w:rFonts w:ascii="Times New Roman" w:hAnsi="Times New Roman" w:cs="Times New Roman"/>
                      <w:b/>
                      <w:bCs/>
                      <w:sz w:val="28"/>
                      <w:szCs w:val="28"/>
                    </w:rPr>
                    <w:t xml:space="preserve">ÈTUDE  DE LA QUALITÈ DES EAUX DU BARRAGE D’OUED KRAMIS (WILAYA DE MOSTAGANEM  </w:t>
                  </w:r>
                  <w:r>
                    <w:rPr>
                      <w:rFonts w:ascii="Times New Roman" w:hAnsi="Times New Roman" w:cs="Times New Roman"/>
                      <w:b/>
                      <w:bCs/>
                      <w:sz w:val="28"/>
                      <w:szCs w:val="28"/>
                    </w:rPr>
                    <w:br w:type="textWrapping"/>
                  </w:r>
                  <w:r>
                    <w:rPr>
                      <w:rFonts w:ascii="Times New Roman" w:hAnsi="Times New Roman" w:cs="Times New Roman"/>
                      <w:b/>
                      <w:bCs/>
                      <w:sz w:val="28"/>
                      <w:szCs w:val="28"/>
                    </w:rPr>
                    <w:t>N.W. ALGERIE)</w:t>
                  </w:r>
                </w:p>
              </w:txbxContent>
            </v:textbox>
          </v:roundrect>
        </w:pict>
      </w:r>
    </w:p>
    <w:p>
      <w:pPr>
        <w:jc w:val="center"/>
        <w:rPr>
          <w:rFonts w:ascii="Times New Roman" w:hAnsi="Times New Roman" w:cs="Times New Roman"/>
          <w:b/>
          <w:bCs/>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r>
        <w:rPr>
          <w:rFonts w:ascii="Times New Roman" w:hAnsi="Times New Roman" w:cs="Times New Roman"/>
          <w:sz w:val="24"/>
          <w:szCs w:val="24"/>
        </w:rPr>
        <w:t>Présenté par :</w:t>
      </w:r>
    </w:p>
    <w:p>
      <w:pPr>
        <w:jc w:val="both"/>
        <w:rPr>
          <w:rFonts w:ascii="Times New Roman" w:hAnsi="Times New Roman" w:cs="Times New Roman"/>
          <w:b/>
          <w:bCs/>
          <w:sz w:val="24"/>
          <w:szCs w:val="24"/>
        </w:rPr>
      </w:pPr>
      <w:r>
        <w:rPr>
          <w:rFonts w:ascii="Times New Roman" w:hAnsi="Times New Roman" w:cs="Times New Roman"/>
          <w:b/>
          <w:bCs/>
          <w:sz w:val="24"/>
          <w:szCs w:val="24"/>
        </w:rPr>
        <w:t xml:space="preserve">                    AMER  Naima                                                   BELARIBI  Kheira </w:t>
      </w:r>
    </w:p>
    <w:p>
      <w:pPr>
        <w:rPr>
          <w:rFonts w:ascii="Times New Roman" w:hAnsi="Times New Roman" w:cs="Times New Roman"/>
          <w:b/>
          <w:bCs/>
          <w:sz w:val="24"/>
          <w:szCs w:val="24"/>
        </w:rPr>
      </w:pPr>
    </w:p>
    <w:p>
      <w:pPr>
        <w:rPr>
          <w:rFonts w:ascii="Times New Roman" w:hAnsi="Times New Roman" w:cs="Times New Roman"/>
          <w:sz w:val="24"/>
          <w:szCs w:val="24"/>
        </w:rPr>
      </w:pPr>
      <w:r>
        <w:rPr>
          <w:rFonts w:ascii="Times New Roman" w:hAnsi="Times New Roman" w:cs="Times New Roman"/>
          <w:sz w:val="24"/>
          <w:szCs w:val="24"/>
        </w:rPr>
        <w:t>Soutenu le : 19-06-2017.                                                     Devant la commission d’examen:</w:t>
      </w: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val="en-US"/>
        </w:rPr>
        <w:t>M</w:t>
      </w:r>
      <w:r>
        <w:rPr>
          <w:rFonts w:ascii="Times New Roman" w:hAnsi="Times New Roman" w:cs="Times New Roman"/>
          <w:sz w:val="24"/>
          <w:szCs w:val="24"/>
          <w:vertAlign w:val="superscript"/>
          <w:lang w:val="en-US"/>
        </w:rPr>
        <w:t>r</w:t>
      </w:r>
      <w:r>
        <w:rPr>
          <w:rFonts w:ascii="Times New Roman" w:hAnsi="Times New Roman" w:cs="Times New Roman"/>
          <w:sz w:val="24"/>
          <w:szCs w:val="24"/>
          <w:lang w:val="en-US"/>
        </w:rPr>
        <w:t xml:space="preserve">. BAICHE A.E.K.                   </w:t>
      </w:r>
      <w:r>
        <w:rPr>
          <w:rFonts w:ascii="Times New Roman" w:hAnsi="Times New Roman" w:cs="Times New Roman"/>
          <w:sz w:val="24"/>
          <w:szCs w:val="24"/>
        </w:rPr>
        <w:t>Maitre assistant                  Univ Oran2         Président.</w:t>
      </w:r>
    </w:p>
    <w:p>
      <w:pPr>
        <w:rPr>
          <w:rFonts w:ascii="Times New Roman" w:hAnsi="Times New Roman" w:cs="Times New Roman"/>
          <w:sz w:val="24"/>
          <w:szCs w:val="24"/>
        </w:rPr>
      </w:pPr>
      <w:r>
        <w:rPr>
          <w:rFonts w:ascii="Times New Roman" w:hAnsi="Times New Roman" w:cs="Times New Roman"/>
          <w:sz w:val="24"/>
          <w:szCs w:val="24"/>
        </w:rPr>
        <w:t>M</w:t>
      </w:r>
      <w:r>
        <w:rPr>
          <w:rFonts w:ascii="Times New Roman" w:hAnsi="Times New Roman" w:cs="Times New Roman"/>
          <w:sz w:val="24"/>
          <w:szCs w:val="24"/>
          <w:vertAlign w:val="superscript"/>
        </w:rPr>
        <w:t xml:space="preserve">me </w:t>
      </w:r>
      <w:r>
        <w:rPr>
          <w:rFonts w:ascii="Times New Roman" w:hAnsi="Times New Roman" w:cs="Times New Roman"/>
          <w:sz w:val="24"/>
          <w:szCs w:val="24"/>
        </w:rPr>
        <w:t>.ABLAOUI H.                     Maitre assistante                Univ Oran2         Rapporteur.</w:t>
      </w:r>
    </w:p>
    <w:p>
      <w:pPr>
        <w:rPr>
          <w:rFonts w:ascii="Times New Roman" w:hAnsi="Times New Roman" w:cs="Times New Roman"/>
          <w:sz w:val="24"/>
          <w:szCs w:val="24"/>
        </w:rPr>
      </w:pPr>
      <w:r>
        <w:rPr>
          <w:rFonts w:ascii="Times New Roman" w:hAnsi="Times New Roman" w:cs="Times New Roman"/>
          <w:sz w:val="24"/>
          <w:szCs w:val="24"/>
        </w:rPr>
        <w:t>M</w:t>
      </w:r>
      <w:r>
        <w:rPr>
          <w:rFonts w:ascii="Times New Roman" w:hAnsi="Times New Roman" w:cs="Times New Roman"/>
          <w:sz w:val="24"/>
          <w:szCs w:val="24"/>
          <w:vertAlign w:val="superscript"/>
        </w:rPr>
        <w:t>r</w:t>
      </w:r>
      <w:r>
        <w:rPr>
          <w:rFonts w:ascii="Times New Roman" w:hAnsi="Times New Roman" w:cs="Times New Roman"/>
          <w:sz w:val="24"/>
          <w:szCs w:val="24"/>
        </w:rPr>
        <w:t>. BOURSALI T.                     Maitre assistant                  Univ Oran2         Examinateur.</w:t>
      </w:r>
    </w:p>
    <w:p>
      <w:pPr>
        <w:rPr>
          <w:rFonts w:ascii="Times New Roman" w:hAnsi="Times New Roman" w:cs="Times New Roman"/>
          <w:sz w:val="24"/>
          <w:szCs w:val="24"/>
        </w:rPr>
      </w:pPr>
      <w:r>
        <w:rPr>
          <w:rFonts w:ascii="Times New Roman" w:hAnsi="Times New Roman" w:cs="Times New Roman"/>
          <w:sz w:val="24"/>
          <w:szCs w:val="24"/>
        </w:rPr>
        <w:t>M</w:t>
      </w:r>
      <w:r>
        <w:rPr>
          <w:rFonts w:ascii="Times New Roman" w:hAnsi="Times New Roman" w:cs="Times New Roman"/>
          <w:sz w:val="24"/>
          <w:szCs w:val="24"/>
          <w:vertAlign w:val="superscript"/>
        </w:rPr>
        <w:t>me</w:t>
      </w:r>
      <w:r>
        <w:rPr>
          <w:rFonts w:ascii="Times New Roman" w:hAnsi="Times New Roman" w:cs="Times New Roman"/>
          <w:sz w:val="24"/>
          <w:szCs w:val="24"/>
        </w:rPr>
        <w:t>. BELKHEIR KH.               Maitre assistante                 Univ Oran2         Examinatrice.</w:t>
      </w:r>
    </w:p>
    <w:p>
      <w:pPr>
        <w:rPr>
          <w:rFonts w:ascii="Times New Roman" w:hAnsi="Times New Roman" w:cs="Times New Roman"/>
          <w:sz w:val="24"/>
          <w:szCs w:val="24"/>
        </w:rPr>
      </w:pPr>
    </w:p>
    <w:p>
      <w:pPr>
        <w:rPr>
          <w:rFonts w:ascii="Times New Roman" w:hAnsi="Times New Roman" w:cs="Times New Roman"/>
          <w:b/>
          <w:bCs/>
          <w:sz w:val="24"/>
          <w:szCs w:val="24"/>
        </w:rPr>
      </w:pPr>
      <w:r>
        <w:rPr>
          <w:rFonts w:ascii="Times New Roman" w:hAnsi="Times New Roman" w:cs="Times New Roman"/>
          <w:b/>
          <w:bCs/>
          <w:sz w:val="24"/>
          <w:szCs w:val="24"/>
          <w:lang w:eastAsia="fr-FR"/>
        </w:rPr>
        <w:pict>
          <v:shape id="_x0000_s2051" o:spid="_x0000_s2051" o:spt="98" type="#_x0000_t98" style="position:absolute;left:0pt;margin-left:161.2pt;margin-top:1.75pt;height:36pt;width:108.75pt;z-index:251662336;mso-width-relative:page;mso-height-relative:page;" fillcolor="#00B0F0" filled="t" coordsize="21600,21600">
            <v:path/>
            <v:fill on="t" focussize="0,0"/>
            <v:stroke/>
            <v:imagedata o:title=""/>
            <o:lock v:ext="edit"/>
            <v:textbox>
              <w:txbxContent>
                <w:p>
                  <w:pPr>
                    <w:jc w:val="center"/>
                    <w:rPr>
                      <w:b/>
                      <w:bCs/>
                    </w:rPr>
                  </w:pPr>
                  <w:r>
                    <w:rPr>
                      <w:rFonts w:ascii="Times New Roman" w:hAnsi="Times New Roman" w:cs="Times New Roman"/>
                      <w:b/>
                      <w:bCs/>
                      <w:sz w:val="24"/>
                      <w:szCs w:val="24"/>
                    </w:rPr>
                    <w:t>Oran 2017</w:t>
                  </w:r>
                </w:p>
              </w:txbxContent>
            </v:textbox>
          </v:shape>
        </w:pict>
      </w:r>
    </w:p>
    <w:p>
      <w:pPr>
        <w:jc w:val="center"/>
        <w:rPr>
          <w:rFonts w:ascii="Times New Roman" w:hAnsi="Times New Roman" w:cs="Times New Roman"/>
          <w:sz w:val="24"/>
          <w:szCs w:val="24"/>
        </w:rPr>
      </w:pPr>
      <w:r>
        <w:rPr>
          <w:rFonts w:ascii="Times New Roman" w:hAnsi="Times New Roman" w:cs="Times New Roman"/>
          <w:sz w:val="24"/>
          <w:szCs w:val="24"/>
        </w:rPr>
        <w:t>.</w:t>
      </w:r>
    </w:p>
    <w:p>
      <w:pPr>
        <w:jc w:val="center"/>
        <w:rPr>
          <w:rFonts w:ascii="Times New Roman" w:hAnsi="Times New Roman" w:cs="Times New Roman"/>
          <w:sz w:val="24"/>
          <w:szCs w:val="24"/>
        </w:rPr>
      </w:pPr>
    </w:p>
    <w:p>
      <w:pPr>
        <w:ind w:left="0" w:firstLine="0"/>
        <w:jc w:val="center"/>
        <w:rPr>
          <w:rFonts w:asciiTheme="majorBidi" w:hAnsiTheme="majorBidi" w:cstheme="majorBidi"/>
          <w:sz w:val="24"/>
          <w:szCs w:val="24"/>
        </w:rPr>
      </w:pPr>
      <w:r>
        <w:rPr>
          <w:rFonts w:asciiTheme="majorBidi" w:hAnsiTheme="majorBidi" w:cstheme="majorBidi"/>
          <w:sz w:val="24"/>
          <w:szCs w:val="24"/>
        </w:rPr>
        <w:pict>
          <v:shape id="_x0000_i1025" o:spt="136" type="#_x0000_t136" style="height:51pt;width:309pt;" fillcolor="#548DD4" filled="t" stroked="t" coordsize="21600,21600">
            <v:path/>
            <v:fill on="t" color2="#0000FF" focussize="0,0"/>
            <v:stroke weight="1pt" color="#EAEAEA"/>
            <v:imagedata o:title=""/>
            <o:lock v:ext="edit"/>
            <v:textpath on="t" fitshape="t" fitpath="t" trim="t" xscale="f" string="Remerciements" style="font-family:Arial Black;font-size:36pt;v-text-align:center;"/>
            <v:shadow on="t" type="perspective" color="#C0C0C0" opacity="52429f" origin="-32768f,32768f" matrix=",46340f,,32768f,,-4.76837158203125e-7"/>
            <w10:wrap type="none"/>
            <w10:anchorlock/>
          </v:shape>
        </w:pict>
      </w:r>
    </w:p>
    <w:p>
      <w:pPr>
        <w:ind w:left="0" w:firstLine="0"/>
        <w:jc w:val="center"/>
        <w:rPr>
          <w:rFonts w:asciiTheme="majorBidi" w:hAnsiTheme="majorBidi" w:cstheme="majorBidi"/>
          <w:sz w:val="24"/>
          <w:szCs w:val="24"/>
        </w:rPr>
      </w:pPr>
      <w:r>
        <w:rPr>
          <w:rFonts w:asciiTheme="majorBidi" w:hAnsiTheme="majorBidi" w:cstheme="majorBidi"/>
          <w:sz w:val="24"/>
          <w:szCs w:val="24"/>
        </w:rPr>
        <w:t>Avant tout, nous remercions Dieu le tout puissant qui nous à donné le courage, la volonté et la patience pour achever ce travail et arriver à récolter nos peines.</w:t>
      </w:r>
    </w:p>
    <w:p>
      <w:pPr>
        <w:ind w:left="0" w:firstLine="0"/>
        <w:jc w:val="center"/>
        <w:rPr>
          <w:rFonts w:asciiTheme="majorBidi" w:hAnsiTheme="majorBidi" w:cstheme="majorBidi"/>
          <w:sz w:val="24"/>
          <w:szCs w:val="24"/>
        </w:rPr>
      </w:pPr>
      <w:r>
        <w:rPr>
          <w:rFonts w:asciiTheme="majorBidi" w:hAnsiTheme="majorBidi" w:cstheme="majorBidi"/>
          <w:sz w:val="24"/>
          <w:szCs w:val="24"/>
        </w:rPr>
        <w:t>Au terme de ce travail, il nous est très agréable d’adresse nos remerciements à tous ceux qui ont contribué de prés ou de loin à la réalisation de ce mémoire. Cependant, vous devez toujours ressentir en lisant ces quelques lignes que nous avons pensé à vous tous même si vos noms n’y figurent pas.</w:t>
      </w:r>
    </w:p>
    <w:p>
      <w:pPr>
        <w:ind w:left="0" w:firstLine="0"/>
        <w:jc w:val="center"/>
        <w:rPr>
          <w:rFonts w:asciiTheme="majorBidi" w:hAnsiTheme="majorBidi" w:cstheme="majorBidi"/>
          <w:sz w:val="24"/>
          <w:szCs w:val="24"/>
        </w:rPr>
      </w:pPr>
      <w:r>
        <w:rPr>
          <w:rFonts w:asciiTheme="majorBidi" w:hAnsiTheme="majorBidi" w:cstheme="majorBidi"/>
          <w:sz w:val="24"/>
          <w:szCs w:val="24"/>
        </w:rPr>
        <w:t xml:space="preserve">Tout d’abord nous tenons à exprimer notre profonde gratitude envers </w:t>
      </w:r>
      <w:r>
        <w:rPr>
          <w:rFonts w:asciiTheme="majorBidi" w:hAnsiTheme="majorBidi" w:cstheme="majorBidi"/>
          <w:b/>
          <w:bCs/>
          <w:sz w:val="24"/>
          <w:szCs w:val="24"/>
        </w:rPr>
        <w:t>Mme ABLAOUI Halima</w:t>
      </w:r>
      <w:r>
        <w:rPr>
          <w:rFonts w:asciiTheme="majorBidi" w:hAnsiTheme="majorBidi" w:cstheme="majorBidi"/>
          <w:sz w:val="24"/>
          <w:szCs w:val="24"/>
        </w:rPr>
        <w:t xml:space="preserve"> maitre assistante à l’université d’Oran qui nous a fait confiance et qui bien voulu nous encadrer. Nous la remercions de nous avoir fait bénéficie de ses connaissances et de ses critique qui nous ont beaucoup aide à l’amélioration de ce travail. Sa méthode rigoureuse sera pour nous un bon exemple à suivre.</w:t>
      </w:r>
    </w:p>
    <w:p>
      <w:pPr>
        <w:ind w:left="0" w:firstLine="0"/>
        <w:jc w:val="center"/>
        <w:rPr>
          <w:rFonts w:asciiTheme="majorBidi" w:hAnsiTheme="majorBidi" w:cstheme="majorBidi"/>
          <w:sz w:val="24"/>
          <w:szCs w:val="24"/>
        </w:rPr>
      </w:pPr>
      <w:r>
        <w:rPr>
          <w:rFonts w:asciiTheme="majorBidi" w:hAnsiTheme="majorBidi" w:cstheme="majorBidi"/>
          <w:sz w:val="24"/>
          <w:szCs w:val="24"/>
        </w:rPr>
        <w:t xml:space="preserve">Nous remercions pleinement monsieur </w:t>
      </w:r>
      <w:r>
        <w:rPr>
          <w:rFonts w:asciiTheme="majorBidi" w:hAnsiTheme="majorBidi" w:cstheme="majorBidi"/>
          <w:b/>
          <w:bCs/>
          <w:sz w:val="24"/>
          <w:szCs w:val="24"/>
        </w:rPr>
        <w:t>BAICHE Abdelkader</w:t>
      </w:r>
      <w:r>
        <w:rPr>
          <w:rFonts w:asciiTheme="majorBidi" w:hAnsiTheme="majorBidi" w:cstheme="majorBidi"/>
          <w:sz w:val="24"/>
          <w:szCs w:val="24"/>
        </w:rPr>
        <w:t xml:space="preserve"> maitre assistant à l’université d’Oran de nous avoir fait l’honneur de présider ce jury.</w:t>
      </w:r>
    </w:p>
    <w:p>
      <w:pPr>
        <w:ind w:left="0" w:firstLine="0"/>
        <w:jc w:val="center"/>
        <w:rPr>
          <w:rFonts w:asciiTheme="majorBidi" w:hAnsiTheme="majorBidi" w:cstheme="majorBidi"/>
          <w:sz w:val="24"/>
          <w:szCs w:val="24"/>
        </w:rPr>
      </w:pPr>
      <w:r>
        <w:rPr>
          <w:rFonts w:asciiTheme="majorBidi" w:hAnsiTheme="majorBidi" w:cstheme="majorBidi"/>
          <w:sz w:val="24"/>
          <w:szCs w:val="24"/>
        </w:rPr>
        <w:t xml:space="preserve">Nous tenons également à remercier monsieur </w:t>
      </w:r>
      <w:r>
        <w:rPr>
          <w:rFonts w:asciiTheme="majorBidi" w:hAnsiTheme="majorBidi" w:cstheme="majorBidi"/>
          <w:b/>
          <w:bCs/>
          <w:sz w:val="24"/>
          <w:szCs w:val="24"/>
        </w:rPr>
        <w:t>BOURSALI Tewfik</w:t>
      </w:r>
      <w:r>
        <w:rPr>
          <w:rFonts w:asciiTheme="majorBidi" w:hAnsiTheme="majorBidi" w:cstheme="majorBidi"/>
          <w:sz w:val="24"/>
          <w:szCs w:val="24"/>
        </w:rPr>
        <w:t xml:space="preserve"> maitre assistant à l’université d’Oran pour accepter de critiquer ce mémoire.</w:t>
      </w:r>
    </w:p>
    <w:p>
      <w:pPr>
        <w:ind w:left="0" w:firstLine="0"/>
        <w:jc w:val="center"/>
        <w:rPr>
          <w:rFonts w:asciiTheme="majorBidi" w:hAnsiTheme="majorBidi" w:cstheme="majorBidi"/>
          <w:sz w:val="24"/>
          <w:szCs w:val="24"/>
        </w:rPr>
      </w:pPr>
      <w:r>
        <w:rPr>
          <w:rFonts w:asciiTheme="majorBidi" w:hAnsiTheme="majorBidi" w:cstheme="majorBidi"/>
          <w:sz w:val="24"/>
          <w:szCs w:val="24"/>
        </w:rPr>
        <w:t xml:space="preserve">Nous adressons aussi nos remerciements à madame </w:t>
      </w:r>
      <w:r>
        <w:rPr>
          <w:rFonts w:asciiTheme="majorBidi" w:hAnsiTheme="majorBidi" w:cstheme="majorBidi"/>
          <w:b/>
          <w:bCs/>
          <w:sz w:val="24"/>
          <w:szCs w:val="24"/>
        </w:rPr>
        <w:t>BELKHIR Khadidja</w:t>
      </w:r>
      <w:r>
        <w:rPr>
          <w:rFonts w:asciiTheme="majorBidi" w:hAnsiTheme="majorBidi" w:cstheme="majorBidi"/>
          <w:sz w:val="24"/>
          <w:szCs w:val="24"/>
        </w:rPr>
        <w:t xml:space="preserve"> maitre assistant à l’université d’Oran pour ses encouragements d’avoir bien voulu examiner ce mémoire.</w:t>
      </w:r>
    </w:p>
    <w:p>
      <w:pPr>
        <w:ind w:left="0" w:firstLine="0"/>
        <w:jc w:val="center"/>
        <w:rPr>
          <w:rFonts w:asciiTheme="majorBidi" w:hAnsiTheme="majorBidi" w:cstheme="majorBidi"/>
          <w:sz w:val="24"/>
          <w:szCs w:val="24"/>
        </w:rPr>
      </w:pPr>
      <w:r>
        <w:rPr>
          <w:rFonts w:asciiTheme="majorBidi" w:hAnsiTheme="majorBidi" w:cstheme="majorBidi"/>
          <w:sz w:val="24"/>
          <w:szCs w:val="24"/>
        </w:rPr>
        <w:t>Je ne peux pas passer sans remercier mon cher frère AMER SOUFIN pour le courage et la confiance et mon cher père BELARIBI Lakhal</w:t>
      </w:r>
    </w:p>
    <w:p>
      <w:pPr>
        <w:ind w:left="0" w:firstLine="0"/>
        <w:jc w:val="center"/>
        <w:rPr>
          <w:rFonts w:asciiTheme="majorBidi" w:hAnsiTheme="majorBidi" w:cstheme="majorBidi"/>
          <w:sz w:val="24"/>
          <w:szCs w:val="24"/>
        </w:rPr>
      </w:pPr>
      <w:r>
        <w:rPr>
          <w:rFonts w:asciiTheme="majorBidi" w:hAnsiTheme="majorBidi" w:cstheme="majorBidi"/>
          <w:sz w:val="24"/>
          <w:szCs w:val="24"/>
        </w:rPr>
        <w:t>Nous témoignons notre profonde gratitude à tous le corps professoral et tout le personnel de la faculté sciences de la terre et de l’univers.</w:t>
      </w:r>
    </w:p>
    <w:p>
      <w:pPr>
        <w:ind w:left="0" w:firstLine="0"/>
        <w:jc w:val="center"/>
        <w:rPr>
          <w:rFonts w:asciiTheme="majorBidi" w:hAnsiTheme="majorBidi" w:cstheme="majorBidi"/>
          <w:sz w:val="24"/>
          <w:szCs w:val="24"/>
        </w:rPr>
      </w:pPr>
      <w:r>
        <w:rPr>
          <w:rFonts w:asciiTheme="majorBidi" w:hAnsiTheme="majorBidi" w:cstheme="majorBidi"/>
          <w:sz w:val="24"/>
          <w:szCs w:val="24"/>
        </w:rPr>
        <w:t>Nous ne pourrons passer sans silence l’aide des fonctionnaires de la bibiothéque des sciences de la terre de l’université d’Oran.</w:t>
      </w:r>
    </w:p>
    <w:p>
      <w:r>
        <w:rPr>
          <w:b/>
          <w:bCs/>
          <w:sz w:val="24"/>
          <w:szCs w:val="24"/>
        </w:rPr>
        <w:t xml:space="preserve">  </w:t>
      </w: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tabs>
          <w:tab w:val="left" w:leader="dot" w:pos="8505"/>
        </w:tabs>
        <w:spacing w:after="120"/>
        <w:ind w:left="0" w:firstLine="0"/>
        <w:jc w:val="center"/>
        <w:rPr>
          <w:rFonts w:ascii="Times New Roman" w:hAnsi="Times New Roman" w:cs="Times New Roman"/>
          <w:b/>
          <w:bCs/>
          <w:sz w:val="24"/>
          <w:szCs w:val="24"/>
        </w:rPr>
      </w:pPr>
      <w:r>
        <w:rPr>
          <w:rFonts w:ascii="Times New Roman" w:hAnsi="Times New Roman" w:cs="Times New Roman"/>
          <w:b/>
          <w:bCs/>
          <w:sz w:val="24"/>
          <w:szCs w:val="24"/>
        </w:rPr>
        <w:t>Table des matières</w:t>
      </w:r>
    </w:p>
    <w:p>
      <w:pPr>
        <w:tabs>
          <w:tab w:val="left" w:leader="dot" w:pos="8505"/>
        </w:tabs>
        <w:spacing w:after="120"/>
        <w:ind w:left="0" w:firstLine="0"/>
        <w:rPr>
          <w:rFonts w:asciiTheme="majorBidi" w:hAnsiTheme="majorBidi" w:cstheme="majorBidi"/>
          <w:sz w:val="24"/>
          <w:szCs w:val="24"/>
        </w:rPr>
      </w:pPr>
      <w:r>
        <w:rPr>
          <w:rFonts w:asciiTheme="majorBidi" w:hAnsiTheme="majorBidi" w:cstheme="majorBidi"/>
          <w:sz w:val="24"/>
          <w:szCs w:val="24"/>
        </w:rPr>
        <w:t>Remerciement</w:t>
      </w:r>
    </w:p>
    <w:p>
      <w:pPr>
        <w:tabs>
          <w:tab w:val="left" w:leader="dot" w:pos="8505"/>
        </w:tabs>
        <w:spacing w:after="120"/>
        <w:ind w:left="0" w:firstLine="0"/>
        <w:rPr>
          <w:rFonts w:asciiTheme="majorBidi" w:hAnsiTheme="majorBidi" w:cstheme="majorBidi"/>
          <w:sz w:val="24"/>
          <w:szCs w:val="24"/>
        </w:rPr>
      </w:pPr>
      <w:r>
        <w:rPr>
          <w:rFonts w:asciiTheme="majorBidi" w:hAnsiTheme="majorBidi" w:cstheme="majorBidi"/>
          <w:sz w:val="24"/>
          <w:szCs w:val="24"/>
        </w:rPr>
        <w:t xml:space="preserve">Dédicaces </w:t>
      </w:r>
    </w:p>
    <w:p>
      <w:pPr>
        <w:tabs>
          <w:tab w:val="left" w:leader="dot" w:pos="8505"/>
        </w:tabs>
        <w:spacing w:after="120"/>
        <w:ind w:left="0" w:firstLine="0"/>
        <w:rPr>
          <w:rFonts w:asciiTheme="majorBidi" w:hAnsiTheme="majorBidi" w:cstheme="majorBidi"/>
          <w:sz w:val="24"/>
          <w:szCs w:val="24"/>
        </w:rPr>
      </w:pPr>
      <w:r>
        <w:rPr>
          <w:rFonts w:asciiTheme="majorBidi" w:hAnsiTheme="majorBidi" w:cstheme="majorBidi"/>
          <w:sz w:val="24"/>
          <w:szCs w:val="24"/>
        </w:rPr>
        <w:t xml:space="preserve">Table des matières </w:t>
      </w:r>
    </w:p>
    <w:p>
      <w:pPr>
        <w:tabs>
          <w:tab w:val="left" w:leader="dot" w:pos="8505"/>
        </w:tabs>
        <w:spacing w:after="120"/>
        <w:ind w:left="0" w:firstLine="0"/>
        <w:rPr>
          <w:rFonts w:asciiTheme="majorBidi" w:hAnsiTheme="majorBidi" w:cstheme="majorBidi"/>
          <w:sz w:val="24"/>
          <w:szCs w:val="24"/>
        </w:rPr>
      </w:pPr>
      <w:r>
        <w:rPr>
          <w:rFonts w:asciiTheme="majorBidi" w:hAnsiTheme="majorBidi" w:cstheme="majorBidi"/>
          <w:sz w:val="24"/>
          <w:szCs w:val="24"/>
        </w:rPr>
        <w:t xml:space="preserve">Liste des figures </w:t>
      </w:r>
    </w:p>
    <w:p>
      <w:pPr>
        <w:tabs>
          <w:tab w:val="left" w:leader="dot" w:pos="8505"/>
        </w:tabs>
        <w:spacing w:after="120"/>
        <w:ind w:left="0" w:firstLine="0"/>
        <w:rPr>
          <w:rFonts w:asciiTheme="majorBidi" w:hAnsiTheme="majorBidi" w:cstheme="majorBidi"/>
          <w:sz w:val="24"/>
          <w:szCs w:val="24"/>
        </w:rPr>
      </w:pPr>
      <w:r>
        <w:rPr>
          <w:rFonts w:asciiTheme="majorBidi" w:hAnsiTheme="majorBidi" w:cstheme="majorBidi"/>
          <w:sz w:val="24"/>
          <w:szCs w:val="24"/>
        </w:rPr>
        <w:t xml:space="preserve">Liste des tableaux </w:t>
      </w:r>
    </w:p>
    <w:p>
      <w:pPr>
        <w:tabs>
          <w:tab w:val="left" w:leader="dot" w:pos="8505"/>
        </w:tabs>
        <w:spacing w:after="120"/>
        <w:ind w:left="0" w:firstLine="0"/>
        <w:rPr>
          <w:rFonts w:asciiTheme="majorBidi" w:hAnsiTheme="majorBidi" w:cstheme="majorBidi"/>
          <w:sz w:val="24"/>
          <w:szCs w:val="24"/>
        </w:rPr>
      </w:pPr>
      <w:r>
        <w:rPr>
          <w:rFonts w:asciiTheme="majorBidi" w:hAnsiTheme="majorBidi" w:cstheme="majorBidi"/>
          <w:sz w:val="24"/>
          <w:szCs w:val="24"/>
        </w:rPr>
        <w:t>Introduction générale</w:t>
      </w:r>
      <w:r>
        <w:rPr>
          <w:rFonts w:asciiTheme="majorBidi" w:hAnsiTheme="majorBidi" w:cstheme="majorBidi"/>
          <w:sz w:val="24"/>
          <w:szCs w:val="24"/>
        </w:rPr>
        <w:tab/>
      </w:r>
      <w:r>
        <w:rPr>
          <w:rFonts w:asciiTheme="majorBidi" w:hAnsiTheme="majorBidi" w:cstheme="majorBidi"/>
          <w:sz w:val="24"/>
          <w:szCs w:val="24"/>
        </w:rPr>
        <w:t>1</w:t>
      </w:r>
    </w:p>
    <w:p>
      <w:pPr>
        <w:jc w:val="center"/>
        <w:rPr>
          <w:rFonts w:asciiTheme="majorBidi" w:hAnsiTheme="majorBidi" w:cstheme="majorBidi"/>
          <w:sz w:val="24"/>
          <w:szCs w:val="24"/>
        </w:rPr>
      </w:pPr>
      <w:r>
        <w:rPr>
          <w:rFonts w:asciiTheme="majorBidi" w:hAnsiTheme="majorBidi" w:cstheme="majorBidi"/>
          <w:sz w:val="24"/>
          <w:szCs w:val="24"/>
        </w:rPr>
        <w:t>Chapitre I : Généralités</w:t>
      </w:r>
    </w:p>
    <w:p>
      <w:pPr>
        <w:tabs>
          <w:tab w:val="left" w:leader="dot" w:pos="8505"/>
        </w:tabs>
        <w:ind w:left="0" w:firstLine="0"/>
        <w:rPr>
          <w:rFonts w:asciiTheme="majorBidi" w:hAnsiTheme="majorBidi" w:cstheme="majorBidi"/>
          <w:sz w:val="24"/>
          <w:szCs w:val="24"/>
        </w:rPr>
      </w:pPr>
      <w:r>
        <w:rPr>
          <w:rFonts w:asciiTheme="majorBidi" w:hAnsiTheme="majorBidi" w:cstheme="majorBidi"/>
          <w:sz w:val="24"/>
          <w:szCs w:val="24"/>
        </w:rPr>
        <w:t xml:space="preserve">Introduction </w:t>
      </w:r>
      <w:r>
        <w:rPr>
          <w:rFonts w:asciiTheme="majorBidi" w:hAnsiTheme="majorBidi" w:cstheme="majorBidi"/>
          <w:sz w:val="24"/>
          <w:szCs w:val="24"/>
        </w:rPr>
        <w:tab/>
      </w:r>
      <w:r>
        <w:rPr>
          <w:rFonts w:asciiTheme="majorBidi" w:hAnsiTheme="majorBidi" w:cstheme="majorBidi"/>
          <w:sz w:val="24"/>
          <w:szCs w:val="24"/>
        </w:rPr>
        <w:t>3</w:t>
      </w:r>
    </w:p>
    <w:p>
      <w:pPr>
        <w:pStyle w:val="10"/>
        <w:numPr>
          <w:ilvl w:val="0"/>
          <w:numId w:val="1"/>
        </w:numPr>
        <w:tabs>
          <w:tab w:val="left" w:leader="dot" w:pos="8505"/>
        </w:tabs>
        <w:rPr>
          <w:rFonts w:asciiTheme="majorBidi" w:hAnsiTheme="majorBidi" w:cstheme="majorBidi"/>
          <w:sz w:val="24"/>
          <w:szCs w:val="24"/>
        </w:rPr>
      </w:pPr>
      <w:r>
        <w:rPr>
          <w:rFonts w:asciiTheme="majorBidi" w:hAnsiTheme="majorBidi" w:cstheme="majorBidi"/>
          <w:sz w:val="24"/>
          <w:szCs w:val="24"/>
        </w:rPr>
        <w:t>Cadre géographique</w:t>
      </w:r>
      <w:r>
        <w:rPr>
          <w:rFonts w:asciiTheme="majorBidi" w:hAnsiTheme="majorBidi" w:cstheme="majorBidi"/>
          <w:sz w:val="24"/>
          <w:szCs w:val="24"/>
        </w:rPr>
        <w:tab/>
      </w:r>
      <w:r>
        <w:rPr>
          <w:rFonts w:asciiTheme="majorBidi" w:hAnsiTheme="majorBidi" w:cstheme="majorBidi"/>
          <w:sz w:val="24"/>
          <w:szCs w:val="24"/>
        </w:rPr>
        <w:t xml:space="preserve">3                                                                                                 </w:t>
      </w:r>
    </w:p>
    <w:p>
      <w:pPr>
        <w:pStyle w:val="10"/>
        <w:numPr>
          <w:ilvl w:val="1"/>
          <w:numId w:val="2"/>
        </w:numPr>
        <w:tabs>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 xml:space="preserve"> Situation géographique générale </w:t>
      </w:r>
      <w:r>
        <w:rPr>
          <w:rFonts w:asciiTheme="majorBidi" w:hAnsiTheme="majorBidi" w:cstheme="majorBidi"/>
          <w:sz w:val="24"/>
          <w:szCs w:val="24"/>
        </w:rPr>
        <w:tab/>
      </w:r>
      <w:r>
        <w:rPr>
          <w:rFonts w:asciiTheme="majorBidi" w:hAnsiTheme="majorBidi" w:cstheme="majorBidi"/>
          <w:sz w:val="24"/>
          <w:szCs w:val="24"/>
        </w:rPr>
        <w:t>3</w:t>
      </w:r>
    </w:p>
    <w:p>
      <w:pPr>
        <w:pStyle w:val="10"/>
        <w:numPr>
          <w:ilvl w:val="1"/>
          <w:numId w:val="2"/>
        </w:numPr>
        <w:tabs>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Situation géographique locale </w:t>
      </w:r>
      <w:r>
        <w:rPr>
          <w:rFonts w:asciiTheme="majorBidi" w:hAnsiTheme="majorBidi" w:cstheme="majorBidi"/>
          <w:sz w:val="24"/>
          <w:szCs w:val="24"/>
        </w:rPr>
        <w:tab/>
      </w:r>
      <w:r>
        <w:rPr>
          <w:rFonts w:asciiTheme="majorBidi" w:hAnsiTheme="majorBidi" w:cstheme="majorBidi"/>
          <w:sz w:val="24"/>
          <w:szCs w:val="24"/>
        </w:rPr>
        <w:t>3</w:t>
      </w:r>
    </w:p>
    <w:p>
      <w:pPr>
        <w:pStyle w:val="10"/>
        <w:numPr>
          <w:ilvl w:val="0"/>
          <w:numId w:val="3"/>
        </w:numPr>
        <w:tabs>
          <w:tab w:val="left" w:leader="dot" w:pos="8505"/>
        </w:tabs>
        <w:rPr>
          <w:rFonts w:asciiTheme="majorBidi" w:hAnsiTheme="majorBidi" w:cstheme="majorBidi"/>
          <w:sz w:val="24"/>
          <w:szCs w:val="24"/>
        </w:rPr>
      </w:pPr>
      <w:r>
        <w:rPr>
          <w:rFonts w:asciiTheme="majorBidi" w:hAnsiTheme="majorBidi" w:cstheme="majorBidi"/>
          <w:sz w:val="24"/>
          <w:szCs w:val="24"/>
        </w:rPr>
        <w:t>Cadre géomorphologique</w:t>
      </w:r>
      <w:r>
        <w:rPr>
          <w:rFonts w:asciiTheme="majorBidi" w:hAnsiTheme="majorBidi" w:cstheme="majorBidi"/>
          <w:sz w:val="24"/>
          <w:szCs w:val="24"/>
        </w:rPr>
        <w:tab/>
      </w:r>
      <w:r>
        <w:rPr>
          <w:rFonts w:asciiTheme="majorBidi" w:hAnsiTheme="majorBidi" w:cstheme="majorBidi"/>
          <w:sz w:val="24"/>
          <w:szCs w:val="24"/>
        </w:rPr>
        <w:t>6</w:t>
      </w:r>
    </w:p>
    <w:p>
      <w:pPr>
        <w:pStyle w:val="10"/>
        <w:numPr>
          <w:ilvl w:val="0"/>
          <w:numId w:val="4"/>
        </w:numPr>
        <w:tabs>
          <w:tab w:val="left" w:leader="dot" w:pos="8505"/>
        </w:tabs>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 xml:space="preserve"> Géologie</w:t>
      </w:r>
      <w:r>
        <w:rPr>
          <w:rFonts w:asciiTheme="majorBidi" w:hAnsiTheme="majorBidi" w:cstheme="majorBidi"/>
          <w:sz w:val="24"/>
          <w:szCs w:val="24"/>
        </w:rPr>
        <w:tab/>
      </w:r>
      <w:r>
        <w:rPr>
          <w:rFonts w:asciiTheme="majorBidi" w:hAnsiTheme="majorBidi" w:cstheme="majorBidi"/>
          <w:sz w:val="24"/>
          <w:szCs w:val="24"/>
        </w:rPr>
        <w:t>7</w:t>
      </w:r>
    </w:p>
    <w:p>
      <w:pPr>
        <w:pStyle w:val="10"/>
        <w:numPr>
          <w:ilvl w:val="1"/>
          <w:numId w:val="4"/>
        </w:numPr>
        <w:tabs>
          <w:tab w:val="left" w:leader="dot" w:pos="8505"/>
        </w:tabs>
        <w:rPr>
          <w:rFonts w:asciiTheme="majorBidi" w:hAnsiTheme="majorBidi" w:cstheme="majorBidi"/>
          <w:sz w:val="24"/>
          <w:szCs w:val="24"/>
        </w:rPr>
      </w:pPr>
      <w:r>
        <w:rPr>
          <w:rFonts w:asciiTheme="majorBidi" w:hAnsiTheme="majorBidi" w:cstheme="majorBidi"/>
          <w:sz w:val="24"/>
          <w:szCs w:val="24"/>
        </w:rPr>
        <w:t>Situation géologique générale</w:t>
      </w:r>
      <w:r>
        <w:rPr>
          <w:rFonts w:asciiTheme="majorBidi" w:hAnsiTheme="majorBidi" w:cstheme="majorBidi"/>
          <w:sz w:val="24"/>
          <w:szCs w:val="24"/>
        </w:rPr>
        <w:tab/>
      </w:r>
      <w:r>
        <w:rPr>
          <w:rFonts w:asciiTheme="majorBidi" w:hAnsiTheme="majorBidi" w:cstheme="majorBidi"/>
          <w:sz w:val="24"/>
          <w:szCs w:val="24"/>
        </w:rPr>
        <w:t>7</w:t>
      </w:r>
    </w:p>
    <w:p>
      <w:pPr>
        <w:pStyle w:val="10"/>
        <w:numPr>
          <w:ilvl w:val="1"/>
          <w:numId w:val="4"/>
        </w:numPr>
        <w:tabs>
          <w:tab w:val="left" w:leader="dot" w:pos="8505"/>
        </w:tabs>
        <w:rPr>
          <w:rFonts w:asciiTheme="majorBidi" w:hAnsiTheme="majorBidi" w:cstheme="majorBidi"/>
          <w:sz w:val="24"/>
          <w:szCs w:val="24"/>
        </w:rPr>
      </w:pPr>
      <w:r>
        <w:rPr>
          <w:rFonts w:asciiTheme="majorBidi" w:hAnsiTheme="majorBidi" w:cstheme="majorBidi"/>
          <w:sz w:val="24"/>
          <w:szCs w:val="24"/>
        </w:rPr>
        <w:t>Situation géologique locale</w:t>
      </w:r>
      <w:r>
        <w:rPr>
          <w:rFonts w:asciiTheme="majorBidi" w:hAnsiTheme="majorBidi" w:cstheme="majorBidi"/>
          <w:sz w:val="24"/>
          <w:szCs w:val="24"/>
        </w:rPr>
        <w:tab/>
      </w:r>
      <w:r>
        <w:rPr>
          <w:rFonts w:asciiTheme="majorBidi" w:hAnsiTheme="majorBidi" w:cstheme="majorBidi"/>
          <w:sz w:val="24"/>
          <w:szCs w:val="24"/>
        </w:rPr>
        <w:t>12</w:t>
      </w:r>
    </w:p>
    <w:p>
      <w:pPr>
        <w:pStyle w:val="10"/>
        <w:numPr>
          <w:ilvl w:val="0"/>
          <w:numId w:val="4"/>
        </w:numPr>
        <w:tabs>
          <w:tab w:val="left" w:leader="dot" w:pos="8505"/>
        </w:tabs>
        <w:spacing w:after="0" w:line="360" w:lineRule="auto"/>
        <w:rPr>
          <w:rFonts w:asciiTheme="majorBidi" w:hAnsiTheme="majorBidi" w:cstheme="majorBidi"/>
          <w:sz w:val="24"/>
          <w:szCs w:val="24"/>
        </w:rPr>
      </w:pPr>
      <w:r>
        <w:rPr>
          <w:rFonts w:asciiTheme="majorBidi" w:hAnsiTheme="majorBidi" w:cstheme="majorBidi"/>
          <w:sz w:val="24"/>
          <w:szCs w:val="24"/>
        </w:rPr>
        <w:t xml:space="preserve">cadre tectonique </w:t>
      </w:r>
      <w:r>
        <w:rPr>
          <w:rFonts w:asciiTheme="majorBidi" w:hAnsiTheme="majorBidi" w:cstheme="majorBidi"/>
          <w:sz w:val="24"/>
          <w:szCs w:val="24"/>
        </w:rPr>
        <w:tab/>
      </w:r>
      <w:r>
        <w:rPr>
          <w:rFonts w:asciiTheme="majorBidi" w:hAnsiTheme="majorBidi" w:cstheme="majorBidi"/>
          <w:sz w:val="24"/>
          <w:szCs w:val="24"/>
        </w:rPr>
        <w:t>13</w:t>
      </w:r>
    </w:p>
    <w:p>
      <w:pPr>
        <w:pStyle w:val="10"/>
        <w:numPr>
          <w:ilvl w:val="0"/>
          <w:numId w:val="4"/>
        </w:numPr>
        <w:tabs>
          <w:tab w:val="left" w:leader="dot" w:pos="8505"/>
        </w:tabs>
        <w:spacing w:after="0" w:line="360" w:lineRule="auto"/>
        <w:rPr>
          <w:rFonts w:asciiTheme="majorBidi" w:hAnsiTheme="majorBidi" w:cstheme="majorBidi"/>
          <w:sz w:val="24"/>
          <w:szCs w:val="24"/>
        </w:rPr>
      </w:pPr>
      <w:r>
        <w:rPr>
          <w:rFonts w:asciiTheme="majorBidi" w:hAnsiTheme="majorBidi" w:cstheme="majorBidi"/>
          <w:sz w:val="24"/>
          <w:szCs w:val="24"/>
        </w:rPr>
        <w:t>Hydrographie</w:t>
      </w:r>
      <w:r>
        <w:rPr>
          <w:rFonts w:asciiTheme="majorBidi" w:hAnsiTheme="majorBidi" w:cstheme="majorBidi"/>
          <w:sz w:val="24"/>
          <w:szCs w:val="24"/>
        </w:rPr>
        <w:tab/>
      </w:r>
      <w:r>
        <w:rPr>
          <w:rFonts w:asciiTheme="majorBidi" w:hAnsiTheme="majorBidi" w:cstheme="majorBidi"/>
          <w:sz w:val="24"/>
          <w:szCs w:val="24"/>
        </w:rPr>
        <w:t>14</w:t>
      </w:r>
    </w:p>
    <w:p>
      <w:pPr>
        <w:pStyle w:val="10"/>
        <w:numPr>
          <w:ilvl w:val="0"/>
          <w:numId w:val="4"/>
        </w:numPr>
        <w:tabs>
          <w:tab w:val="left" w:leader="dot" w:pos="8505"/>
        </w:tabs>
        <w:spacing w:after="0" w:line="360" w:lineRule="auto"/>
        <w:rPr>
          <w:rFonts w:asciiTheme="majorBidi" w:hAnsiTheme="majorBidi" w:cstheme="majorBidi"/>
          <w:sz w:val="24"/>
          <w:szCs w:val="24"/>
        </w:rPr>
      </w:pPr>
      <w:r>
        <w:rPr>
          <w:rFonts w:asciiTheme="majorBidi" w:hAnsiTheme="majorBidi" w:cstheme="majorBidi"/>
          <w:sz w:val="24"/>
          <w:szCs w:val="24"/>
        </w:rPr>
        <w:t xml:space="preserve">Hydrogéologie </w:t>
      </w:r>
      <w:r>
        <w:rPr>
          <w:rFonts w:asciiTheme="majorBidi" w:hAnsiTheme="majorBidi" w:cstheme="majorBidi"/>
          <w:sz w:val="24"/>
          <w:szCs w:val="24"/>
        </w:rPr>
        <w:tab/>
      </w:r>
      <w:r>
        <w:rPr>
          <w:rFonts w:asciiTheme="majorBidi" w:hAnsiTheme="majorBidi" w:cstheme="majorBidi"/>
          <w:sz w:val="24"/>
          <w:szCs w:val="24"/>
        </w:rPr>
        <w:t>15</w:t>
      </w:r>
    </w:p>
    <w:p>
      <w:pPr>
        <w:tabs>
          <w:tab w:val="left" w:leader="dot" w:pos="8505"/>
        </w:tabs>
        <w:ind w:left="0" w:firstLine="0"/>
        <w:rPr>
          <w:rFonts w:asciiTheme="majorBidi" w:hAnsiTheme="majorBidi" w:cstheme="majorBidi"/>
          <w:sz w:val="24"/>
          <w:szCs w:val="24"/>
        </w:rPr>
      </w:pPr>
      <w:r>
        <w:rPr>
          <w:rFonts w:asciiTheme="majorBidi" w:hAnsiTheme="majorBidi" w:cstheme="majorBidi"/>
          <w:sz w:val="24"/>
          <w:szCs w:val="24"/>
        </w:rPr>
        <w:t>Conclusion </w:t>
      </w:r>
      <w:r>
        <w:rPr>
          <w:rFonts w:asciiTheme="majorBidi" w:hAnsiTheme="majorBidi" w:cstheme="majorBidi"/>
          <w:sz w:val="24"/>
          <w:szCs w:val="24"/>
        </w:rPr>
        <w:tab/>
      </w:r>
      <w:r>
        <w:rPr>
          <w:rFonts w:asciiTheme="majorBidi" w:hAnsiTheme="majorBidi" w:cstheme="majorBidi"/>
          <w:sz w:val="24"/>
          <w:szCs w:val="24"/>
        </w:rPr>
        <w:t>17</w:t>
      </w:r>
    </w:p>
    <w:p>
      <w:pPr>
        <w:tabs>
          <w:tab w:val="left" w:pos="1350"/>
        </w:tabs>
        <w:jc w:val="center"/>
        <w:rPr>
          <w:rFonts w:asciiTheme="majorBidi" w:hAnsiTheme="majorBidi" w:cstheme="majorBidi"/>
          <w:sz w:val="24"/>
          <w:szCs w:val="24"/>
        </w:rPr>
      </w:pPr>
      <w:r>
        <w:rPr>
          <w:rFonts w:asciiTheme="majorBidi" w:hAnsiTheme="majorBidi" w:cstheme="majorBidi"/>
          <w:sz w:val="24"/>
          <w:szCs w:val="24"/>
        </w:rPr>
        <w:t>Chapitre II : hydro-climatologie</w:t>
      </w:r>
    </w:p>
    <w:p>
      <w:pPr>
        <w:tabs>
          <w:tab w:val="left" w:pos="1350"/>
          <w:tab w:val="left" w:leader="dot" w:pos="8505"/>
        </w:tabs>
        <w:ind w:left="0" w:firstLine="0"/>
        <w:rPr>
          <w:rFonts w:asciiTheme="majorBidi" w:hAnsiTheme="majorBidi" w:cstheme="majorBidi"/>
          <w:sz w:val="24"/>
          <w:szCs w:val="24"/>
        </w:rPr>
      </w:pPr>
      <w:r>
        <w:rPr>
          <w:rFonts w:asciiTheme="majorBidi" w:hAnsiTheme="majorBidi" w:cstheme="majorBidi"/>
          <w:sz w:val="24"/>
          <w:szCs w:val="24"/>
        </w:rPr>
        <w:t>Introduction </w:t>
      </w:r>
      <w:r>
        <w:rPr>
          <w:rFonts w:asciiTheme="majorBidi" w:hAnsiTheme="majorBidi" w:cstheme="majorBidi"/>
          <w:sz w:val="24"/>
          <w:szCs w:val="24"/>
        </w:rPr>
        <w:tab/>
      </w:r>
      <w:r>
        <w:rPr>
          <w:rFonts w:asciiTheme="majorBidi" w:hAnsiTheme="majorBidi" w:cstheme="majorBidi"/>
          <w:sz w:val="24"/>
          <w:szCs w:val="24"/>
        </w:rPr>
        <w:t>18</w:t>
      </w:r>
    </w:p>
    <w:p>
      <w:pPr>
        <w:tabs>
          <w:tab w:val="left" w:leader="dot" w:pos="8505"/>
        </w:tabs>
        <w:ind w:left="0" w:firstLine="0"/>
        <w:rPr>
          <w:rFonts w:asciiTheme="majorBidi" w:hAnsiTheme="majorBidi" w:cstheme="majorBidi"/>
          <w:sz w:val="24"/>
          <w:szCs w:val="24"/>
        </w:rPr>
      </w:pPr>
      <w:r>
        <w:rPr>
          <w:rFonts w:asciiTheme="majorBidi" w:hAnsiTheme="majorBidi" w:cstheme="majorBidi"/>
          <w:sz w:val="24"/>
          <w:szCs w:val="24"/>
        </w:rPr>
        <w:t>I. Cadre climatique </w:t>
      </w:r>
      <w:r>
        <w:rPr>
          <w:rFonts w:asciiTheme="majorBidi" w:hAnsiTheme="majorBidi" w:cstheme="majorBidi"/>
          <w:sz w:val="24"/>
          <w:szCs w:val="24"/>
        </w:rPr>
        <w:tab/>
      </w:r>
      <w:r>
        <w:rPr>
          <w:rFonts w:asciiTheme="majorBidi" w:hAnsiTheme="majorBidi" w:cstheme="majorBidi"/>
          <w:sz w:val="24"/>
          <w:szCs w:val="24"/>
        </w:rPr>
        <w:t>18</w:t>
      </w:r>
    </w:p>
    <w:p>
      <w:pPr>
        <w:pStyle w:val="10"/>
        <w:numPr>
          <w:ilvl w:val="0"/>
          <w:numId w:val="5"/>
        </w:numPr>
        <w:tabs>
          <w:tab w:val="left" w:pos="1350"/>
          <w:tab w:val="left" w:leader="dot" w:pos="8505"/>
        </w:tabs>
        <w:spacing w:after="0" w:line="360" w:lineRule="auto"/>
        <w:rPr>
          <w:rFonts w:asciiTheme="majorBidi" w:hAnsiTheme="majorBidi" w:cstheme="majorBidi"/>
          <w:sz w:val="24"/>
          <w:szCs w:val="24"/>
        </w:rPr>
      </w:pPr>
      <w:r>
        <w:rPr>
          <w:rFonts w:asciiTheme="majorBidi" w:hAnsiTheme="majorBidi" w:cstheme="majorBidi"/>
          <w:sz w:val="24"/>
          <w:szCs w:val="24"/>
        </w:rPr>
        <w:t>Etude des Précipitations</w:t>
      </w:r>
      <w:r>
        <w:rPr>
          <w:rFonts w:asciiTheme="majorBidi" w:hAnsiTheme="majorBidi" w:cstheme="majorBidi"/>
          <w:sz w:val="24"/>
          <w:szCs w:val="24"/>
        </w:rPr>
        <w:tab/>
      </w:r>
      <w:r>
        <w:rPr>
          <w:rFonts w:asciiTheme="majorBidi" w:hAnsiTheme="majorBidi" w:cstheme="majorBidi"/>
          <w:sz w:val="24"/>
          <w:szCs w:val="24"/>
        </w:rPr>
        <w:t xml:space="preserve"> 18</w:t>
      </w:r>
    </w:p>
    <w:p>
      <w:pPr>
        <w:pStyle w:val="10"/>
        <w:numPr>
          <w:ilvl w:val="1"/>
          <w:numId w:val="5"/>
        </w:numPr>
        <w:tabs>
          <w:tab w:val="left" w:pos="1350"/>
          <w:tab w:val="left" w:leader="dot" w:pos="8505"/>
        </w:tabs>
        <w:spacing w:after="0" w:line="360" w:lineRule="auto"/>
        <w:rPr>
          <w:rFonts w:asciiTheme="majorBidi" w:hAnsiTheme="majorBidi" w:cstheme="majorBidi"/>
          <w:sz w:val="24"/>
          <w:szCs w:val="24"/>
        </w:rPr>
      </w:pPr>
      <w:r>
        <w:rPr>
          <w:rFonts w:asciiTheme="majorBidi" w:hAnsiTheme="majorBidi" w:cstheme="majorBidi"/>
          <w:sz w:val="24"/>
          <w:szCs w:val="24"/>
        </w:rPr>
        <w:t>Station de Mostaganem</w:t>
      </w:r>
      <w:r>
        <w:rPr>
          <w:rFonts w:asciiTheme="majorBidi" w:hAnsiTheme="majorBidi" w:cstheme="majorBidi"/>
          <w:sz w:val="24"/>
          <w:szCs w:val="24"/>
        </w:rPr>
        <w:tab/>
      </w:r>
      <w:r>
        <w:rPr>
          <w:rFonts w:asciiTheme="majorBidi" w:hAnsiTheme="majorBidi" w:cstheme="majorBidi"/>
          <w:sz w:val="24"/>
          <w:szCs w:val="24"/>
        </w:rPr>
        <w:t>19 </w:t>
      </w:r>
    </w:p>
    <w:p>
      <w:pPr>
        <w:pStyle w:val="10"/>
        <w:numPr>
          <w:ilvl w:val="2"/>
          <w:numId w:val="5"/>
        </w:numPr>
        <w:tabs>
          <w:tab w:val="left" w:pos="1350"/>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Précipitation moyenne annuelle période (1989 - 2008)</w:t>
      </w:r>
      <w:r>
        <w:rPr>
          <w:rFonts w:asciiTheme="majorBidi" w:hAnsiTheme="majorBidi" w:cstheme="majorBidi"/>
          <w:sz w:val="24"/>
          <w:szCs w:val="24"/>
        </w:rPr>
        <w:tab/>
      </w:r>
      <w:r>
        <w:rPr>
          <w:rFonts w:asciiTheme="majorBidi" w:hAnsiTheme="majorBidi" w:cstheme="majorBidi"/>
          <w:sz w:val="24"/>
          <w:szCs w:val="24"/>
        </w:rPr>
        <w:t>19</w:t>
      </w:r>
    </w:p>
    <w:p>
      <w:pPr>
        <w:pStyle w:val="10"/>
        <w:numPr>
          <w:ilvl w:val="2"/>
          <w:numId w:val="5"/>
        </w:numPr>
        <w:tabs>
          <w:tab w:val="left" w:pos="1350"/>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Précipitation moyenne mensuelles  période (1989 _ 2008)</w:t>
      </w:r>
      <w:r>
        <w:rPr>
          <w:rFonts w:asciiTheme="majorBidi" w:hAnsiTheme="majorBidi" w:cstheme="majorBidi"/>
          <w:sz w:val="24"/>
          <w:szCs w:val="24"/>
        </w:rPr>
        <w:tab/>
      </w:r>
      <w:r>
        <w:rPr>
          <w:rFonts w:asciiTheme="majorBidi" w:hAnsiTheme="majorBidi" w:cstheme="majorBidi"/>
          <w:sz w:val="24"/>
          <w:szCs w:val="24"/>
        </w:rPr>
        <w:t>20</w:t>
      </w:r>
    </w:p>
    <w:p>
      <w:pPr>
        <w:pStyle w:val="10"/>
        <w:numPr>
          <w:ilvl w:val="1"/>
          <w:numId w:val="5"/>
        </w:numPr>
        <w:tabs>
          <w:tab w:val="left" w:pos="1350"/>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Station d’Oued Kramis</w:t>
      </w:r>
      <w:r>
        <w:rPr>
          <w:rFonts w:asciiTheme="majorBidi" w:hAnsiTheme="majorBidi" w:cstheme="majorBidi"/>
          <w:sz w:val="24"/>
          <w:szCs w:val="24"/>
        </w:rPr>
        <w:tab/>
      </w:r>
      <w:r>
        <w:rPr>
          <w:rFonts w:asciiTheme="majorBidi" w:hAnsiTheme="majorBidi" w:cstheme="majorBidi"/>
          <w:sz w:val="24"/>
          <w:szCs w:val="24"/>
        </w:rPr>
        <w:t>21</w:t>
      </w:r>
    </w:p>
    <w:p>
      <w:pPr>
        <w:pStyle w:val="10"/>
        <w:numPr>
          <w:ilvl w:val="2"/>
          <w:numId w:val="6"/>
        </w:numPr>
        <w:tabs>
          <w:tab w:val="left" w:pos="1350"/>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Précipitations moyennes mensuelles  des mêmes périodes</w:t>
      </w:r>
      <w:r>
        <w:rPr>
          <w:rFonts w:asciiTheme="majorBidi" w:hAnsiTheme="majorBidi" w:cstheme="majorBidi"/>
          <w:sz w:val="24"/>
          <w:szCs w:val="24"/>
        </w:rPr>
        <w:tab/>
      </w:r>
      <w:r>
        <w:rPr>
          <w:rFonts w:asciiTheme="majorBidi" w:hAnsiTheme="majorBidi" w:cstheme="majorBidi"/>
          <w:sz w:val="24"/>
          <w:szCs w:val="24"/>
        </w:rPr>
        <w:t>21</w:t>
      </w:r>
    </w:p>
    <w:p>
      <w:pPr>
        <w:pStyle w:val="10"/>
        <w:numPr>
          <w:ilvl w:val="0"/>
          <w:numId w:val="5"/>
        </w:numPr>
        <w:tabs>
          <w:tab w:val="left" w:pos="1380"/>
          <w:tab w:val="left" w:leader="dot" w:pos="8505"/>
        </w:tabs>
        <w:spacing w:before="100" w:beforeAutospacing="1" w:after="100" w:afterAutospacing="1" w:line="360" w:lineRule="auto"/>
        <w:ind w:left="709" w:hanging="283"/>
        <w:rPr>
          <w:rFonts w:asciiTheme="majorBidi" w:hAnsiTheme="majorBidi" w:cstheme="majorBidi"/>
          <w:sz w:val="24"/>
          <w:szCs w:val="24"/>
        </w:rPr>
      </w:pPr>
      <w:r>
        <w:rPr>
          <w:rFonts w:asciiTheme="majorBidi" w:hAnsiTheme="majorBidi" w:cstheme="majorBidi"/>
          <w:sz w:val="24"/>
          <w:szCs w:val="24"/>
        </w:rPr>
        <w:t>Variation saisonnière des précipitations</w:t>
      </w:r>
      <w:r>
        <w:rPr>
          <w:rFonts w:asciiTheme="majorBidi" w:hAnsiTheme="majorBidi" w:cstheme="majorBidi"/>
          <w:sz w:val="24"/>
          <w:szCs w:val="24"/>
        </w:rPr>
        <w:tab/>
      </w:r>
      <w:r>
        <w:rPr>
          <w:rFonts w:asciiTheme="majorBidi" w:hAnsiTheme="majorBidi" w:cstheme="majorBidi"/>
          <w:sz w:val="24"/>
          <w:szCs w:val="24"/>
        </w:rPr>
        <w:t>22</w:t>
      </w:r>
    </w:p>
    <w:p>
      <w:pPr>
        <w:pStyle w:val="10"/>
        <w:numPr>
          <w:ilvl w:val="0"/>
          <w:numId w:val="5"/>
        </w:numPr>
        <w:tabs>
          <w:tab w:val="left" w:pos="1380"/>
          <w:tab w:val="left" w:leader="dot" w:pos="8505"/>
        </w:tabs>
        <w:spacing w:before="100" w:beforeAutospacing="1" w:after="100" w:afterAutospacing="1" w:line="360" w:lineRule="auto"/>
        <w:ind w:left="709"/>
        <w:rPr>
          <w:rFonts w:asciiTheme="majorBidi" w:hAnsiTheme="majorBidi" w:cstheme="majorBidi"/>
          <w:sz w:val="24"/>
          <w:szCs w:val="24"/>
        </w:rPr>
      </w:pPr>
      <w:r>
        <w:rPr>
          <w:rFonts w:asciiTheme="majorBidi" w:hAnsiTheme="majorBidi" w:cstheme="majorBidi"/>
          <w:sz w:val="24"/>
          <w:szCs w:val="24"/>
        </w:rPr>
        <w:t>Etude des températures</w:t>
      </w:r>
      <w:r>
        <w:rPr>
          <w:rFonts w:asciiTheme="majorBidi" w:hAnsiTheme="majorBidi" w:cstheme="majorBidi"/>
          <w:sz w:val="24"/>
          <w:szCs w:val="24"/>
        </w:rPr>
        <w:tab/>
      </w:r>
      <w:r>
        <w:rPr>
          <w:rFonts w:asciiTheme="majorBidi" w:hAnsiTheme="majorBidi" w:cstheme="majorBidi"/>
          <w:sz w:val="24"/>
          <w:szCs w:val="24"/>
        </w:rPr>
        <w:t>23</w:t>
      </w:r>
    </w:p>
    <w:p>
      <w:pPr>
        <w:pStyle w:val="10"/>
        <w:numPr>
          <w:ilvl w:val="0"/>
          <w:numId w:val="5"/>
        </w:numPr>
        <w:tabs>
          <w:tab w:val="left" w:pos="1380"/>
          <w:tab w:val="left" w:leader="dot" w:pos="8505"/>
        </w:tabs>
        <w:spacing w:before="100" w:beforeAutospacing="1" w:after="100" w:afterAutospacing="1" w:line="360" w:lineRule="auto"/>
        <w:ind w:left="709"/>
        <w:rPr>
          <w:rFonts w:asciiTheme="majorBidi" w:hAnsiTheme="majorBidi" w:cstheme="majorBidi"/>
          <w:sz w:val="24"/>
          <w:szCs w:val="24"/>
        </w:rPr>
      </w:pPr>
      <w:r>
        <w:rPr>
          <w:rFonts w:asciiTheme="majorBidi" w:hAnsiTheme="majorBidi" w:cstheme="majorBidi"/>
          <w:sz w:val="24"/>
          <w:szCs w:val="24"/>
        </w:rPr>
        <w:t>Le vent</w:t>
      </w:r>
      <w:r>
        <w:rPr>
          <w:rFonts w:asciiTheme="majorBidi" w:hAnsiTheme="majorBidi" w:cstheme="majorBidi"/>
          <w:sz w:val="24"/>
          <w:szCs w:val="24"/>
        </w:rPr>
        <w:tab/>
      </w:r>
      <w:r>
        <w:rPr>
          <w:rFonts w:asciiTheme="majorBidi" w:hAnsiTheme="majorBidi" w:cstheme="majorBidi"/>
          <w:sz w:val="24"/>
          <w:szCs w:val="24"/>
        </w:rPr>
        <w:t>24</w:t>
      </w:r>
    </w:p>
    <w:p>
      <w:pPr>
        <w:pStyle w:val="10"/>
        <w:numPr>
          <w:ilvl w:val="0"/>
          <w:numId w:val="5"/>
        </w:numPr>
        <w:tabs>
          <w:tab w:val="left" w:pos="1380"/>
          <w:tab w:val="left" w:leader="dot" w:pos="8505"/>
        </w:tabs>
        <w:spacing w:before="100" w:beforeAutospacing="1" w:after="100" w:afterAutospacing="1" w:line="360" w:lineRule="auto"/>
        <w:ind w:left="709"/>
        <w:rPr>
          <w:rFonts w:asciiTheme="majorBidi" w:hAnsiTheme="majorBidi" w:cstheme="majorBidi"/>
          <w:sz w:val="24"/>
          <w:szCs w:val="24"/>
        </w:rPr>
      </w:pPr>
      <w:r>
        <w:rPr>
          <w:rFonts w:asciiTheme="majorBidi" w:hAnsiTheme="majorBidi" w:cstheme="majorBidi"/>
          <w:sz w:val="24"/>
          <w:szCs w:val="24"/>
        </w:rPr>
        <w:t>L'humidité</w:t>
      </w:r>
      <w:r>
        <w:rPr>
          <w:rFonts w:asciiTheme="majorBidi" w:hAnsiTheme="majorBidi" w:cstheme="majorBidi"/>
          <w:sz w:val="24"/>
          <w:szCs w:val="24"/>
        </w:rPr>
        <w:tab/>
      </w:r>
      <w:r>
        <w:rPr>
          <w:rFonts w:asciiTheme="majorBidi" w:hAnsiTheme="majorBidi" w:cstheme="majorBidi"/>
          <w:sz w:val="24"/>
          <w:szCs w:val="24"/>
        </w:rPr>
        <w:t>25</w:t>
      </w:r>
    </w:p>
    <w:p>
      <w:pPr>
        <w:pStyle w:val="10"/>
        <w:tabs>
          <w:tab w:val="left" w:pos="1380"/>
          <w:tab w:val="left" w:leader="dot" w:pos="8505"/>
        </w:tabs>
        <w:spacing w:before="100" w:beforeAutospacing="1" w:after="100" w:afterAutospacing="1" w:line="360" w:lineRule="auto"/>
        <w:ind w:left="360" w:firstLine="0"/>
        <w:rPr>
          <w:rFonts w:asciiTheme="majorBidi" w:hAnsiTheme="majorBidi" w:cstheme="majorBidi"/>
          <w:sz w:val="24"/>
          <w:szCs w:val="24"/>
        </w:rPr>
      </w:pPr>
      <w:r>
        <w:rPr>
          <w:rFonts w:asciiTheme="majorBidi" w:hAnsiTheme="majorBidi" w:cstheme="majorBidi"/>
          <w:sz w:val="24"/>
          <w:szCs w:val="24"/>
        </w:rPr>
        <w:t>6.   Étude de la relation températures, précipitations</w:t>
      </w:r>
      <w:r>
        <w:rPr>
          <w:rFonts w:asciiTheme="majorBidi" w:hAnsiTheme="majorBidi" w:cstheme="majorBidi"/>
          <w:sz w:val="24"/>
          <w:szCs w:val="24"/>
        </w:rPr>
        <w:tab/>
      </w:r>
      <w:r>
        <w:rPr>
          <w:rFonts w:asciiTheme="majorBidi" w:hAnsiTheme="majorBidi" w:cstheme="majorBidi"/>
          <w:sz w:val="24"/>
          <w:szCs w:val="24"/>
        </w:rPr>
        <w:t>26</w:t>
      </w:r>
    </w:p>
    <w:p>
      <w:pPr>
        <w:pStyle w:val="10"/>
        <w:numPr>
          <w:ilvl w:val="1"/>
          <w:numId w:val="4"/>
        </w:numPr>
        <w:tabs>
          <w:tab w:val="left" w:pos="1380"/>
          <w:tab w:val="left" w:leader="dot" w:pos="8505"/>
        </w:tabs>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Représentations graphiques</w:t>
      </w:r>
      <w:r>
        <w:rPr>
          <w:rFonts w:asciiTheme="majorBidi" w:hAnsiTheme="majorBidi" w:cstheme="majorBidi"/>
          <w:sz w:val="24"/>
          <w:szCs w:val="24"/>
        </w:rPr>
        <w:tab/>
      </w:r>
      <w:r>
        <w:rPr>
          <w:rFonts w:asciiTheme="majorBidi" w:hAnsiTheme="majorBidi" w:cstheme="majorBidi"/>
          <w:sz w:val="24"/>
          <w:szCs w:val="24"/>
        </w:rPr>
        <w:t>26</w:t>
      </w:r>
    </w:p>
    <w:p>
      <w:pPr>
        <w:pStyle w:val="10"/>
        <w:numPr>
          <w:ilvl w:val="2"/>
          <w:numId w:val="4"/>
        </w:numPr>
        <w:tabs>
          <w:tab w:val="left" w:pos="1380"/>
          <w:tab w:val="left" w:leader="dot" w:pos="8505"/>
        </w:tabs>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 xml:space="preserve"> Diagramme pluviothermique</w:t>
      </w:r>
      <w:r>
        <w:rPr>
          <w:rFonts w:asciiTheme="majorBidi" w:hAnsiTheme="majorBidi" w:cstheme="majorBidi"/>
          <w:sz w:val="24"/>
          <w:szCs w:val="24"/>
        </w:rPr>
        <w:tab/>
      </w:r>
      <w:r>
        <w:rPr>
          <w:rFonts w:asciiTheme="majorBidi" w:hAnsiTheme="majorBidi" w:cstheme="majorBidi"/>
          <w:sz w:val="24"/>
          <w:szCs w:val="24"/>
        </w:rPr>
        <w:t>26 </w:t>
      </w:r>
    </w:p>
    <w:p>
      <w:pPr>
        <w:pStyle w:val="10"/>
        <w:tabs>
          <w:tab w:val="left" w:pos="709"/>
          <w:tab w:val="left" w:leader="dot" w:pos="8505"/>
        </w:tabs>
        <w:spacing w:line="360" w:lineRule="auto"/>
        <w:ind w:left="360" w:firstLine="0"/>
        <w:rPr>
          <w:rFonts w:asciiTheme="majorBidi" w:hAnsiTheme="majorBidi" w:cstheme="majorBidi"/>
          <w:sz w:val="24"/>
          <w:szCs w:val="24"/>
        </w:rPr>
      </w:pPr>
      <w:r>
        <w:rPr>
          <w:rFonts w:asciiTheme="majorBidi" w:hAnsiTheme="majorBidi" w:cstheme="majorBidi"/>
          <w:sz w:val="24"/>
          <w:szCs w:val="24"/>
        </w:rPr>
        <w:t>7. Les indice climatiques</w:t>
      </w:r>
      <w:r>
        <w:rPr>
          <w:rFonts w:asciiTheme="majorBidi" w:hAnsiTheme="majorBidi" w:cstheme="majorBidi"/>
          <w:sz w:val="24"/>
          <w:szCs w:val="24"/>
        </w:rPr>
        <w:tab/>
      </w:r>
      <w:r>
        <w:rPr>
          <w:rFonts w:asciiTheme="majorBidi" w:hAnsiTheme="majorBidi" w:cstheme="majorBidi"/>
          <w:sz w:val="24"/>
          <w:szCs w:val="24"/>
        </w:rPr>
        <w:t> 27                             7.1. Indice d'aridité de De Martonne</w:t>
      </w:r>
      <w:r>
        <w:rPr>
          <w:rFonts w:asciiTheme="majorBidi" w:hAnsiTheme="majorBidi" w:cstheme="majorBidi"/>
          <w:sz w:val="24"/>
          <w:szCs w:val="24"/>
        </w:rPr>
        <w:tab/>
      </w:r>
      <w:r>
        <w:rPr>
          <w:rFonts w:asciiTheme="majorBidi" w:hAnsiTheme="majorBidi" w:cstheme="majorBidi"/>
          <w:sz w:val="24"/>
          <w:szCs w:val="24"/>
        </w:rPr>
        <w:t>27 </w:t>
      </w:r>
    </w:p>
    <w:p>
      <w:pPr>
        <w:pStyle w:val="10"/>
        <w:tabs>
          <w:tab w:val="left" w:pos="709"/>
          <w:tab w:val="left" w:leader="dot" w:pos="8505"/>
        </w:tabs>
        <w:spacing w:line="360" w:lineRule="auto"/>
        <w:ind w:left="360" w:firstLine="0"/>
        <w:rPr>
          <w:rFonts w:asciiTheme="majorBidi" w:hAnsiTheme="majorBidi" w:cstheme="majorBidi"/>
          <w:sz w:val="24"/>
          <w:szCs w:val="24"/>
        </w:rPr>
      </w:pPr>
      <w:r>
        <w:rPr>
          <w:rFonts w:asciiTheme="majorBidi" w:hAnsiTheme="majorBidi" w:cstheme="majorBidi"/>
          <w:sz w:val="24"/>
          <w:szCs w:val="24"/>
        </w:rPr>
        <w:t>7.2. Indice de Stewart</w:t>
      </w:r>
      <w:r>
        <w:rPr>
          <w:rFonts w:asciiTheme="majorBidi" w:hAnsiTheme="majorBidi" w:cstheme="majorBidi"/>
          <w:sz w:val="24"/>
          <w:szCs w:val="24"/>
        </w:rPr>
        <w:tab/>
      </w:r>
      <w:r>
        <w:rPr>
          <w:rFonts w:asciiTheme="majorBidi" w:hAnsiTheme="majorBidi" w:cstheme="majorBidi"/>
          <w:sz w:val="24"/>
          <w:szCs w:val="24"/>
        </w:rPr>
        <w:t>29</w:t>
      </w:r>
    </w:p>
    <w:p>
      <w:pPr>
        <w:pStyle w:val="10"/>
        <w:tabs>
          <w:tab w:val="left" w:pos="1380"/>
          <w:tab w:val="left" w:leader="dot" w:pos="8505"/>
        </w:tabs>
        <w:spacing w:before="100" w:beforeAutospacing="1" w:after="100" w:afterAutospacing="1" w:line="360" w:lineRule="auto"/>
        <w:ind w:left="709" w:hanging="283"/>
        <w:rPr>
          <w:rFonts w:asciiTheme="majorBidi" w:hAnsiTheme="majorBidi" w:cstheme="majorBidi"/>
          <w:sz w:val="24"/>
          <w:szCs w:val="24"/>
        </w:rPr>
      </w:pPr>
      <w:r>
        <w:rPr>
          <w:rFonts w:asciiTheme="majorBidi" w:hAnsiTheme="majorBidi" w:cstheme="majorBidi"/>
          <w:sz w:val="24"/>
          <w:szCs w:val="24"/>
        </w:rPr>
        <w:t>7.3. Indice climatique d’Emberger</w:t>
      </w:r>
      <w:r>
        <w:rPr>
          <w:rFonts w:asciiTheme="majorBidi" w:hAnsiTheme="majorBidi" w:cstheme="majorBidi"/>
          <w:sz w:val="24"/>
          <w:szCs w:val="24"/>
        </w:rPr>
        <w:tab/>
      </w:r>
      <w:r>
        <w:rPr>
          <w:rFonts w:asciiTheme="majorBidi" w:hAnsiTheme="majorBidi" w:cstheme="majorBidi"/>
          <w:sz w:val="24"/>
          <w:szCs w:val="24"/>
        </w:rPr>
        <w:t>29</w:t>
      </w:r>
    </w:p>
    <w:p>
      <w:pPr>
        <w:pStyle w:val="10"/>
        <w:numPr>
          <w:ilvl w:val="0"/>
          <w:numId w:val="7"/>
        </w:numPr>
        <w:tabs>
          <w:tab w:val="left" w:pos="709"/>
          <w:tab w:val="left" w:leader="dot" w:pos="8505"/>
        </w:tabs>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Evapotranspiration et déficit d’écoulement</w:t>
      </w:r>
      <w:r>
        <w:rPr>
          <w:rFonts w:asciiTheme="majorBidi" w:hAnsiTheme="majorBidi" w:cstheme="majorBidi"/>
          <w:sz w:val="24"/>
          <w:szCs w:val="24"/>
        </w:rPr>
        <w:tab/>
      </w:r>
      <w:r>
        <w:rPr>
          <w:rFonts w:asciiTheme="majorBidi" w:hAnsiTheme="majorBidi" w:cstheme="majorBidi"/>
          <w:sz w:val="24"/>
          <w:szCs w:val="24"/>
        </w:rPr>
        <w:t>31</w:t>
      </w:r>
    </w:p>
    <w:p>
      <w:pPr>
        <w:pStyle w:val="10"/>
        <w:tabs>
          <w:tab w:val="left" w:pos="1380"/>
          <w:tab w:val="left" w:leader="dot" w:pos="8505"/>
        </w:tabs>
        <w:spacing w:before="100" w:beforeAutospacing="1" w:after="100" w:afterAutospacing="1" w:line="360" w:lineRule="auto"/>
        <w:ind w:left="709" w:firstLine="0"/>
        <w:rPr>
          <w:rFonts w:asciiTheme="majorBidi" w:hAnsiTheme="majorBidi" w:cstheme="majorBidi"/>
          <w:sz w:val="24"/>
          <w:szCs w:val="24"/>
        </w:rPr>
      </w:pPr>
      <w:r>
        <w:rPr>
          <w:rFonts w:asciiTheme="majorBidi" w:hAnsiTheme="majorBidi" w:cstheme="majorBidi"/>
          <w:sz w:val="24"/>
          <w:szCs w:val="24"/>
        </w:rPr>
        <w:t>8.1. Évaporation et l'Évapotranspiration</w:t>
      </w:r>
      <w:r>
        <w:rPr>
          <w:rFonts w:asciiTheme="majorBidi" w:hAnsiTheme="majorBidi" w:cstheme="majorBidi"/>
          <w:sz w:val="24"/>
          <w:szCs w:val="24"/>
        </w:rPr>
        <w:tab/>
      </w:r>
      <w:r>
        <w:rPr>
          <w:rFonts w:asciiTheme="majorBidi" w:hAnsiTheme="majorBidi" w:cstheme="majorBidi"/>
          <w:sz w:val="24"/>
          <w:szCs w:val="24"/>
        </w:rPr>
        <w:t>31</w:t>
      </w:r>
    </w:p>
    <w:p>
      <w:pPr>
        <w:pStyle w:val="10"/>
        <w:tabs>
          <w:tab w:val="left" w:pos="1380"/>
          <w:tab w:val="left" w:leader="dot" w:pos="8505"/>
        </w:tabs>
        <w:spacing w:before="100" w:beforeAutospacing="1" w:after="100" w:afterAutospacing="1" w:line="360" w:lineRule="auto"/>
        <w:ind w:left="1134" w:firstLine="0"/>
        <w:rPr>
          <w:rFonts w:asciiTheme="majorBidi" w:hAnsiTheme="majorBidi" w:cstheme="majorBidi"/>
          <w:sz w:val="24"/>
          <w:szCs w:val="24"/>
        </w:rPr>
      </w:pPr>
      <w:r>
        <w:rPr>
          <w:rFonts w:asciiTheme="majorBidi" w:hAnsiTheme="majorBidi" w:cstheme="majorBidi"/>
          <w:sz w:val="24"/>
          <w:szCs w:val="24"/>
        </w:rPr>
        <w:t>8.1.1. L’évapotranspiration potentielle (ETP)</w:t>
      </w:r>
      <w:r>
        <w:rPr>
          <w:rFonts w:asciiTheme="majorBidi" w:hAnsiTheme="majorBidi" w:cstheme="majorBidi"/>
          <w:sz w:val="24"/>
          <w:szCs w:val="24"/>
        </w:rPr>
        <w:tab/>
      </w:r>
      <w:r>
        <w:rPr>
          <w:rFonts w:asciiTheme="majorBidi" w:hAnsiTheme="majorBidi" w:cstheme="majorBidi"/>
          <w:sz w:val="24"/>
          <w:szCs w:val="24"/>
        </w:rPr>
        <w:t xml:space="preserve"> 31</w:t>
      </w:r>
    </w:p>
    <w:p>
      <w:pPr>
        <w:pStyle w:val="10"/>
        <w:tabs>
          <w:tab w:val="left" w:pos="1380"/>
          <w:tab w:val="left" w:leader="dot" w:pos="8505"/>
        </w:tabs>
        <w:spacing w:after="0" w:line="360" w:lineRule="auto"/>
        <w:ind w:left="1134" w:firstLine="0"/>
        <w:rPr>
          <w:rFonts w:asciiTheme="majorBidi" w:hAnsiTheme="majorBidi" w:cstheme="majorBidi"/>
          <w:sz w:val="24"/>
          <w:szCs w:val="24"/>
        </w:rPr>
      </w:pPr>
      <w:r>
        <w:rPr>
          <w:rFonts w:asciiTheme="majorBidi" w:hAnsiTheme="majorBidi" w:cstheme="majorBidi"/>
          <w:sz w:val="24"/>
          <w:szCs w:val="24"/>
        </w:rPr>
        <w:t>8.1.2. L'évapotranspiration réelle (ETR</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32</w:t>
      </w:r>
    </w:p>
    <w:p>
      <w:pPr>
        <w:tabs>
          <w:tab w:val="left" w:pos="1380"/>
          <w:tab w:val="left" w:leader="dot" w:pos="8505"/>
        </w:tabs>
        <w:ind w:left="0" w:firstLine="0"/>
        <w:rPr>
          <w:rFonts w:asciiTheme="majorBidi" w:hAnsiTheme="majorBidi" w:cstheme="majorBidi"/>
          <w:sz w:val="24"/>
          <w:szCs w:val="24"/>
        </w:rPr>
      </w:pPr>
      <w:r>
        <w:rPr>
          <w:rFonts w:asciiTheme="majorBidi" w:hAnsiTheme="majorBidi" w:cstheme="majorBidi"/>
          <w:sz w:val="24"/>
          <w:szCs w:val="24"/>
        </w:rPr>
        <w:t xml:space="preserve">            8.2. Déficit d’écoulement </w:t>
      </w:r>
      <w:r>
        <w:rPr>
          <w:rFonts w:asciiTheme="majorBidi" w:hAnsiTheme="majorBidi" w:cstheme="majorBidi"/>
          <w:sz w:val="24"/>
          <w:szCs w:val="24"/>
        </w:rPr>
        <w:tab/>
      </w:r>
      <w:r>
        <w:rPr>
          <w:rFonts w:asciiTheme="majorBidi" w:hAnsiTheme="majorBidi" w:cstheme="majorBidi"/>
          <w:sz w:val="24"/>
          <w:szCs w:val="24"/>
        </w:rPr>
        <w:t>35</w:t>
      </w:r>
    </w:p>
    <w:p>
      <w:pPr>
        <w:tabs>
          <w:tab w:val="left" w:pos="1380"/>
          <w:tab w:val="left" w:leader="dot" w:pos="8505"/>
        </w:tabs>
        <w:ind w:left="0" w:firstLine="0"/>
        <w:rPr>
          <w:rFonts w:asciiTheme="majorBidi" w:hAnsiTheme="majorBidi" w:cstheme="majorBidi"/>
          <w:sz w:val="24"/>
          <w:szCs w:val="24"/>
        </w:rPr>
      </w:pPr>
      <w:r>
        <w:rPr>
          <w:rFonts w:asciiTheme="majorBidi" w:hAnsiTheme="majorBidi" w:cstheme="majorBidi"/>
          <w:sz w:val="24"/>
          <w:szCs w:val="24"/>
        </w:rPr>
        <w:t xml:space="preserve">            8.3. L’excédent </w:t>
      </w:r>
      <w:r>
        <w:rPr>
          <w:rFonts w:asciiTheme="majorBidi" w:hAnsiTheme="majorBidi" w:cstheme="majorBidi"/>
          <w:sz w:val="24"/>
          <w:szCs w:val="24"/>
        </w:rPr>
        <w:tab/>
      </w:r>
      <w:r>
        <w:rPr>
          <w:rFonts w:asciiTheme="majorBidi" w:hAnsiTheme="majorBidi" w:cstheme="majorBidi"/>
          <w:sz w:val="24"/>
          <w:szCs w:val="24"/>
        </w:rPr>
        <w:t>35</w:t>
      </w:r>
    </w:p>
    <w:p>
      <w:pPr>
        <w:tabs>
          <w:tab w:val="left" w:pos="1380"/>
          <w:tab w:val="left" w:leader="dot" w:pos="8505"/>
        </w:tabs>
        <w:ind w:left="0" w:firstLine="0"/>
        <w:rPr>
          <w:rFonts w:asciiTheme="majorBidi" w:hAnsiTheme="majorBidi" w:cstheme="majorBidi"/>
          <w:sz w:val="24"/>
          <w:szCs w:val="24"/>
        </w:rPr>
      </w:pPr>
      <w:r>
        <w:rPr>
          <w:rFonts w:asciiTheme="majorBidi" w:hAnsiTheme="majorBidi" w:cstheme="majorBidi"/>
          <w:sz w:val="24"/>
          <w:szCs w:val="24"/>
        </w:rPr>
        <w:t xml:space="preserve">            8.4. Les écoulement </w:t>
      </w:r>
      <w:r>
        <w:rPr>
          <w:rFonts w:asciiTheme="majorBidi" w:hAnsiTheme="majorBidi" w:cstheme="majorBidi"/>
          <w:sz w:val="24"/>
          <w:szCs w:val="24"/>
        </w:rPr>
        <w:tab/>
      </w:r>
      <w:r>
        <w:rPr>
          <w:rFonts w:asciiTheme="majorBidi" w:hAnsiTheme="majorBidi" w:cstheme="majorBidi"/>
          <w:sz w:val="24"/>
          <w:szCs w:val="24"/>
        </w:rPr>
        <w:t>35</w:t>
      </w:r>
    </w:p>
    <w:p>
      <w:pPr>
        <w:tabs>
          <w:tab w:val="left" w:pos="1380"/>
          <w:tab w:val="left" w:leader="dot" w:pos="8505"/>
        </w:tabs>
        <w:ind w:left="0" w:firstLine="0"/>
        <w:rPr>
          <w:rFonts w:asciiTheme="majorBidi" w:hAnsiTheme="majorBidi" w:cstheme="majorBidi"/>
          <w:sz w:val="24"/>
          <w:szCs w:val="24"/>
        </w:rPr>
      </w:pPr>
      <w:r>
        <w:rPr>
          <w:rFonts w:asciiTheme="majorBidi" w:hAnsiTheme="majorBidi" w:cstheme="majorBidi"/>
          <w:sz w:val="24"/>
          <w:szCs w:val="24"/>
        </w:rPr>
        <w:t xml:space="preserve">             8.5. La réserve utile</w:t>
      </w:r>
      <w:r>
        <w:rPr>
          <w:rFonts w:asciiTheme="majorBidi" w:hAnsiTheme="majorBidi" w:cstheme="majorBidi"/>
          <w:sz w:val="24"/>
          <w:szCs w:val="24"/>
        </w:rPr>
        <w:tab/>
      </w:r>
      <w:r>
        <w:rPr>
          <w:rFonts w:asciiTheme="majorBidi" w:hAnsiTheme="majorBidi" w:cstheme="majorBidi"/>
          <w:sz w:val="24"/>
          <w:szCs w:val="24"/>
        </w:rPr>
        <w:t>35</w:t>
      </w:r>
    </w:p>
    <w:p>
      <w:pPr>
        <w:tabs>
          <w:tab w:val="left" w:pos="1380"/>
          <w:tab w:val="left" w:leader="dot" w:pos="8505"/>
        </w:tabs>
        <w:ind w:left="0" w:firstLine="0"/>
        <w:rPr>
          <w:rFonts w:asciiTheme="majorBidi" w:hAnsiTheme="majorBidi" w:cstheme="majorBidi"/>
          <w:sz w:val="24"/>
          <w:szCs w:val="24"/>
        </w:rPr>
      </w:pPr>
      <w:r>
        <w:rPr>
          <w:rFonts w:asciiTheme="majorBidi" w:hAnsiTheme="majorBidi" w:cstheme="majorBidi"/>
          <w:sz w:val="24"/>
          <w:szCs w:val="24"/>
        </w:rPr>
        <w:t xml:space="preserve">     9. Bilan hydrologique  (1989-200)</w:t>
      </w:r>
      <w:r>
        <w:rPr>
          <w:rFonts w:asciiTheme="majorBidi" w:hAnsiTheme="majorBidi" w:cstheme="majorBidi"/>
          <w:sz w:val="24"/>
          <w:szCs w:val="24"/>
        </w:rPr>
        <w:tab/>
      </w:r>
      <w:r>
        <w:rPr>
          <w:rFonts w:asciiTheme="majorBidi" w:hAnsiTheme="majorBidi" w:cstheme="majorBidi"/>
          <w:sz w:val="24"/>
          <w:szCs w:val="24"/>
        </w:rPr>
        <w:t>36</w:t>
      </w:r>
    </w:p>
    <w:p>
      <w:pPr>
        <w:tabs>
          <w:tab w:val="left" w:pos="1380"/>
          <w:tab w:val="left" w:leader="dot" w:pos="8505"/>
        </w:tabs>
        <w:ind w:left="0" w:firstLine="0"/>
        <w:rPr>
          <w:rFonts w:asciiTheme="majorBidi" w:hAnsiTheme="majorBidi" w:cstheme="majorBidi"/>
          <w:sz w:val="24"/>
          <w:szCs w:val="24"/>
        </w:rPr>
      </w:pPr>
      <w:r>
        <w:rPr>
          <w:rFonts w:asciiTheme="majorBidi" w:hAnsiTheme="majorBidi" w:cstheme="majorBidi"/>
          <w:sz w:val="24"/>
          <w:szCs w:val="24"/>
        </w:rPr>
        <w:t xml:space="preserve">             9.1. Calcul du ruissellement  par la méthode de TIXERONT-BERKALOFF</w:t>
      </w:r>
      <w:r>
        <w:rPr>
          <w:rFonts w:asciiTheme="majorBidi" w:hAnsiTheme="majorBidi" w:cstheme="majorBidi"/>
          <w:sz w:val="24"/>
          <w:szCs w:val="24"/>
        </w:rPr>
        <w:tab/>
      </w:r>
      <w:r>
        <w:rPr>
          <w:rFonts w:asciiTheme="majorBidi" w:hAnsiTheme="majorBidi" w:cstheme="majorBidi"/>
          <w:sz w:val="24"/>
          <w:szCs w:val="24"/>
        </w:rPr>
        <w:t>36</w:t>
      </w:r>
    </w:p>
    <w:p>
      <w:pPr>
        <w:tabs>
          <w:tab w:val="left" w:pos="1380"/>
          <w:tab w:val="left" w:leader="dot" w:pos="8505"/>
        </w:tabs>
        <w:ind w:left="0" w:firstLine="0"/>
        <w:rPr>
          <w:rFonts w:asciiTheme="majorBidi" w:hAnsiTheme="majorBidi" w:cstheme="majorBidi"/>
          <w:sz w:val="24"/>
          <w:szCs w:val="24"/>
        </w:rPr>
      </w:pPr>
      <w:r>
        <w:rPr>
          <w:rFonts w:asciiTheme="majorBidi" w:hAnsiTheme="majorBidi" w:cstheme="majorBidi"/>
          <w:sz w:val="24"/>
          <w:szCs w:val="24"/>
        </w:rPr>
        <w:t xml:space="preserve">             9.2. Estimation de l’infiltration</w:t>
      </w:r>
      <w:r>
        <w:rPr>
          <w:rFonts w:asciiTheme="majorBidi" w:hAnsiTheme="majorBidi" w:cstheme="majorBidi"/>
          <w:sz w:val="24"/>
          <w:szCs w:val="24"/>
        </w:rPr>
        <w:tab/>
      </w:r>
      <w:r>
        <w:rPr>
          <w:rFonts w:asciiTheme="majorBidi" w:hAnsiTheme="majorBidi" w:cstheme="majorBidi"/>
          <w:sz w:val="24"/>
          <w:szCs w:val="24"/>
        </w:rPr>
        <w:t xml:space="preserve"> 37</w:t>
      </w:r>
    </w:p>
    <w:p>
      <w:pPr>
        <w:tabs>
          <w:tab w:val="left" w:pos="1380"/>
          <w:tab w:val="left" w:leader="dot" w:pos="8505"/>
        </w:tabs>
        <w:ind w:left="0" w:firstLine="0"/>
        <w:rPr>
          <w:rFonts w:asciiTheme="majorBidi" w:hAnsiTheme="majorBidi" w:cstheme="majorBidi"/>
          <w:sz w:val="24"/>
          <w:szCs w:val="24"/>
        </w:rPr>
      </w:pPr>
      <w:r>
        <w:rPr>
          <w:rFonts w:asciiTheme="majorBidi" w:hAnsiTheme="majorBidi" w:cstheme="majorBidi"/>
          <w:sz w:val="24"/>
          <w:szCs w:val="24"/>
        </w:rPr>
        <w:t>Conclusion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37</w:t>
      </w:r>
    </w:p>
    <w:p>
      <w:pPr>
        <w:tabs>
          <w:tab w:val="left" w:leader="dot" w:pos="8505"/>
        </w:tabs>
        <w:rPr>
          <w:rFonts w:asciiTheme="majorBidi" w:hAnsiTheme="majorBidi" w:cstheme="majorBidi"/>
          <w:sz w:val="24"/>
          <w:szCs w:val="24"/>
        </w:rPr>
      </w:pPr>
      <w:r>
        <w:rPr>
          <w:rFonts w:asciiTheme="majorBidi" w:hAnsiTheme="majorBidi" w:cstheme="majorBidi"/>
          <w:sz w:val="24"/>
          <w:szCs w:val="24"/>
        </w:rPr>
        <w:t>II. Étude morpho-métrique </w:t>
      </w:r>
      <w:r>
        <w:rPr>
          <w:rFonts w:asciiTheme="majorBidi" w:hAnsiTheme="majorBidi" w:cstheme="majorBidi"/>
          <w:sz w:val="24"/>
          <w:szCs w:val="24"/>
        </w:rPr>
        <w:tab/>
      </w:r>
      <w:r>
        <w:rPr>
          <w:rFonts w:asciiTheme="majorBidi" w:hAnsiTheme="majorBidi" w:cstheme="majorBidi"/>
          <w:sz w:val="24"/>
          <w:szCs w:val="24"/>
        </w:rPr>
        <w:t>36</w:t>
      </w:r>
    </w:p>
    <w:p>
      <w:pPr>
        <w:tabs>
          <w:tab w:val="left" w:leader="dot" w:pos="8505"/>
        </w:tabs>
        <w:rPr>
          <w:rFonts w:asciiTheme="majorBidi" w:hAnsiTheme="majorBidi" w:cstheme="majorBidi"/>
          <w:sz w:val="24"/>
          <w:szCs w:val="24"/>
        </w:rPr>
      </w:pPr>
      <w:r>
        <w:rPr>
          <w:rFonts w:asciiTheme="majorBidi" w:hAnsiTheme="majorBidi" w:cstheme="majorBidi"/>
          <w:sz w:val="24"/>
          <w:szCs w:val="24"/>
        </w:rPr>
        <w:t>Introduction </w:t>
      </w:r>
      <w:r>
        <w:rPr>
          <w:rFonts w:asciiTheme="majorBidi" w:hAnsiTheme="majorBidi" w:cstheme="majorBidi"/>
          <w:sz w:val="24"/>
          <w:szCs w:val="24"/>
        </w:rPr>
        <w:tab/>
      </w:r>
      <w:r>
        <w:rPr>
          <w:rFonts w:asciiTheme="majorBidi" w:hAnsiTheme="majorBidi" w:cstheme="majorBidi"/>
          <w:sz w:val="24"/>
          <w:szCs w:val="24"/>
        </w:rPr>
        <w:t>38</w:t>
      </w:r>
    </w:p>
    <w:p>
      <w:pPr>
        <w:pStyle w:val="10"/>
        <w:numPr>
          <w:ilvl w:val="0"/>
          <w:numId w:val="3"/>
        </w:numPr>
        <w:tabs>
          <w:tab w:val="left" w:leader="dot" w:pos="8505"/>
        </w:tabs>
        <w:rPr>
          <w:rFonts w:asciiTheme="majorBidi" w:hAnsiTheme="majorBidi" w:cstheme="majorBidi"/>
          <w:sz w:val="24"/>
          <w:szCs w:val="24"/>
        </w:rPr>
      </w:pPr>
      <w:r>
        <w:rPr>
          <w:rFonts w:asciiTheme="majorBidi" w:hAnsiTheme="majorBidi" w:cstheme="majorBidi"/>
          <w:sz w:val="24"/>
          <w:szCs w:val="24"/>
        </w:rPr>
        <w:t>Étude morpho-métrique du bassin versant de l’oued Kramis</w:t>
      </w:r>
      <w:r>
        <w:rPr>
          <w:rFonts w:asciiTheme="majorBidi" w:hAnsiTheme="majorBidi" w:cstheme="majorBidi"/>
          <w:sz w:val="24"/>
          <w:szCs w:val="24"/>
        </w:rPr>
        <w:tab/>
      </w:r>
      <w:r>
        <w:rPr>
          <w:rFonts w:asciiTheme="majorBidi" w:hAnsiTheme="majorBidi" w:cstheme="majorBidi"/>
          <w:sz w:val="24"/>
          <w:szCs w:val="24"/>
        </w:rPr>
        <w:t>38</w:t>
      </w:r>
    </w:p>
    <w:p>
      <w:pPr>
        <w:pStyle w:val="10"/>
        <w:numPr>
          <w:ilvl w:val="1"/>
          <w:numId w:val="8"/>
        </w:numPr>
        <w:tabs>
          <w:tab w:val="left" w:leader="dot" w:pos="8505"/>
        </w:tabs>
        <w:spacing w:before="100" w:beforeAutospacing="1" w:after="100" w:afterAutospacing="1"/>
        <w:rPr>
          <w:rFonts w:asciiTheme="majorBidi" w:hAnsiTheme="majorBidi" w:cstheme="majorBidi"/>
          <w:sz w:val="24"/>
          <w:szCs w:val="24"/>
          <w:lang w:bidi="ar-DZ"/>
        </w:rPr>
      </w:pPr>
      <w:r>
        <w:rPr>
          <w:rFonts w:asciiTheme="majorBidi" w:hAnsiTheme="majorBidi" w:cstheme="majorBidi"/>
          <w:sz w:val="24"/>
          <w:szCs w:val="24"/>
          <w:lang w:bidi="ar-DZ"/>
        </w:rPr>
        <w:t xml:space="preserve"> Surface </w:t>
      </w:r>
      <w:r>
        <w:rPr>
          <w:rFonts w:asciiTheme="majorBidi" w:hAnsiTheme="majorBidi" w:cstheme="majorBidi"/>
          <w:sz w:val="24"/>
          <w:szCs w:val="24"/>
          <w:lang w:bidi="ar-DZ"/>
        </w:rPr>
        <w:tab/>
      </w:r>
      <w:r>
        <w:rPr>
          <w:rFonts w:asciiTheme="majorBidi" w:hAnsiTheme="majorBidi" w:cstheme="majorBidi"/>
          <w:sz w:val="24"/>
          <w:szCs w:val="24"/>
          <w:lang w:bidi="ar-DZ"/>
        </w:rPr>
        <w:t>38</w:t>
      </w:r>
    </w:p>
    <w:p>
      <w:pPr>
        <w:pStyle w:val="10"/>
        <w:numPr>
          <w:ilvl w:val="1"/>
          <w:numId w:val="8"/>
        </w:numPr>
        <w:tabs>
          <w:tab w:val="left" w:leader="dot" w:pos="8505"/>
        </w:tabs>
        <w:spacing w:before="100" w:beforeAutospacing="1" w:after="100" w:afterAutospacing="1" w:line="360" w:lineRule="auto"/>
        <w:rPr>
          <w:rFonts w:asciiTheme="majorBidi" w:hAnsiTheme="majorBidi" w:cstheme="majorBidi"/>
          <w:sz w:val="24"/>
          <w:szCs w:val="24"/>
          <w:lang w:bidi="ar-DZ"/>
        </w:rPr>
      </w:pPr>
      <w:r>
        <w:rPr>
          <w:rFonts w:asciiTheme="majorBidi" w:hAnsiTheme="majorBidi" w:cstheme="majorBidi"/>
          <w:sz w:val="24"/>
          <w:szCs w:val="24"/>
          <w:lang w:bidi="ar-DZ"/>
        </w:rPr>
        <w:t xml:space="preserve"> Périmètre</w:t>
      </w:r>
      <w:r>
        <w:rPr>
          <w:rFonts w:asciiTheme="majorBidi" w:hAnsiTheme="majorBidi" w:cstheme="majorBidi"/>
          <w:sz w:val="24"/>
          <w:szCs w:val="24"/>
          <w:lang w:bidi="ar-DZ"/>
        </w:rPr>
        <w:tab/>
      </w:r>
      <w:r>
        <w:rPr>
          <w:rFonts w:asciiTheme="majorBidi" w:hAnsiTheme="majorBidi" w:cstheme="majorBidi"/>
          <w:sz w:val="24"/>
          <w:szCs w:val="24"/>
          <w:lang w:bidi="ar-DZ"/>
        </w:rPr>
        <w:tab/>
      </w:r>
      <w:r>
        <w:rPr>
          <w:rFonts w:asciiTheme="majorBidi" w:hAnsiTheme="majorBidi" w:cstheme="majorBidi"/>
          <w:sz w:val="24"/>
          <w:szCs w:val="24"/>
          <w:lang w:bidi="ar-DZ"/>
        </w:rPr>
        <w:t>38</w:t>
      </w:r>
    </w:p>
    <w:p>
      <w:pPr>
        <w:pStyle w:val="10"/>
        <w:numPr>
          <w:ilvl w:val="1"/>
          <w:numId w:val="8"/>
        </w:numPr>
        <w:tabs>
          <w:tab w:val="left" w:leader="dot" w:pos="8505"/>
        </w:tabs>
        <w:spacing w:before="100" w:beforeAutospacing="1" w:after="100" w:afterAutospacing="1" w:line="360" w:lineRule="auto"/>
        <w:rPr>
          <w:rFonts w:asciiTheme="majorBidi" w:hAnsiTheme="majorBidi" w:cstheme="majorBidi"/>
          <w:sz w:val="24"/>
          <w:szCs w:val="24"/>
          <w:lang w:bidi="ar-DZ"/>
        </w:rPr>
      </w:pPr>
      <w:r>
        <w:rPr>
          <w:rFonts w:asciiTheme="majorBidi" w:hAnsiTheme="majorBidi" w:cstheme="majorBidi"/>
          <w:sz w:val="24"/>
          <w:szCs w:val="24"/>
          <w:lang w:bidi="ar-DZ"/>
        </w:rPr>
        <w:t> Coefficient de compacité de gravilus (Kc)</w:t>
      </w:r>
      <w:r>
        <w:rPr>
          <w:rFonts w:asciiTheme="majorBidi" w:hAnsiTheme="majorBidi" w:cstheme="majorBidi"/>
          <w:sz w:val="24"/>
          <w:szCs w:val="24"/>
          <w:lang w:bidi="ar-DZ"/>
        </w:rPr>
        <w:tab/>
      </w:r>
      <w:r>
        <w:rPr>
          <w:rFonts w:asciiTheme="majorBidi" w:hAnsiTheme="majorBidi" w:cstheme="majorBidi"/>
          <w:sz w:val="24"/>
          <w:szCs w:val="24"/>
          <w:lang w:bidi="ar-DZ"/>
        </w:rPr>
        <w:t> 38</w:t>
      </w:r>
    </w:p>
    <w:p>
      <w:pPr>
        <w:pStyle w:val="10"/>
        <w:numPr>
          <w:ilvl w:val="1"/>
          <w:numId w:val="8"/>
        </w:numPr>
        <w:tabs>
          <w:tab w:val="left" w:leader="dot" w:pos="8505"/>
        </w:tabs>
        <w:spacing w:before="100" w:beforeAutospacing="1" w:after="100" w:afterAutospacing="1" w:line="360" w:lineRule="auto"/>
        <w:rPr>
          <w:rFonts w:asciiTheme="majorBidi" w:hAnsiTheme="majorBidi" w:cstheme="majorBidi"/>
          <w:sz w:val="24"/>
          <w:szCs w:val="24"/>
          <w:lang w:bidi="ar-DZ"/>
        </w:rPr>
      </w:pPr>
      <w:r>
        <w:rPr>
          <w:rFonts w:asciiTheme="majorBidi" w:hAnsiTheme="majorBidi" w:cstheme="majorBidi"/>
          <w:sz w:val="24"/>
          <w:szCs w:val="24"/>
          <w:lang w:bidi="ar-DZ"/>
        </w:rPr>
        <w:t>Rectangle équivalent</w:t>
      </w:r>
      <w:r>
        <w:rPr>
          <w:rFonts w:asciiTheme="majorBidi" w:hAnsiTheme="majorBidi" w:cstheme="majorBidi"/>
          <w:sz w:val="24"/>
          <w:szCs w:val="24"/>
          <w:lang w:bidi="ar-DZ"/>
        </w:rPr>
        <w:tab/>
      </w:r>
      <w:r>
        <w:rPr>
          <w:rFonts w:asciiTheme="majorBidi" w:hAnsiTheme="majorBidi" w:cstheme="majorBidi"/>
          <w:sz w:val="24"/>
          <w:szCs w:val="24"/>
          <w:lang w:bidi="ar-DZ"/>
        </w:rPr>
        <w:t>39</w:t>
      </w:r>
    </w:p>
    <w:p>
      <w:pPr>
        <w:pStyle w:val="10"/>
        <w:numPr>
          <w:ilvl w:val="0"/>
          <w:numId w:val="8"/>
        </w:numPr>
        <w:tabs>
          <w:tab w:val="left" w:leader="dot" w:pos="8505"/>
        </w:tabs>
        <w:spacing w:before="100" w:beforeAutospacing="1" w:after="100" w:afterAutospacing="1"/>
        <w:rPr>
          <w:rFonts w:asciiTheme="majorBidi" w:hAnsiTheme="majorBidi" w:cstheme="majorBidi"/>
          <w:sz w:val="24"/>
          <w:szCs w:val="24"/>
          <w:lang w:bidi="ar-DZ"/>
        </w:rPr>
      </w:pPr>
      <w:r>
        <w:rPr>
          <w:rFonts w:asciiTheme="majorBidi" w:hAnsiTheme="majorBidi" w:cstheme="majorBidi"/>
          <w:sz w:val="24"/>
          <w:szCs w:val="24"/>
          <w:lang w:bidi="ar-DZ"/>
        </w:rPr>
        <w:t>Étude du relief</w:t>
      </w:r>
      <w:r>
        <w:rPr>
          <w:rFonts w:asciiTheme="majorBidi" w:hAnsiTheme="majorBidi" w:cstheme="majorBidi"/>
          <w:sz w:val="24"/>
          <w:szCs w:val="24"/>
          <w:lang w:bidi="ar-DZ"/>
        </w:rPr>
        <w:tab/>
      </w:r>
      <w:r>
        <w:rPr>
          <w:rFonts w:asciiTheme="majorBidi" w:hAnsiTheme="majorBidi" w:cstheme="majorBidi"/>
          <w:sz w:val="24"/>
          <w:szCs w:val="24"/>
          <w:lang w:bidi="ar-DZ"/>
        </w:rPr>
        <w:t>40</w:t>
      </w:r>
    </w:p>
    <w:p>
      <w:pPr>
        <w:pStyle w:val="10"/>
        <w:numPr>
          <w:ilvl w:val="1"/>
          <w:numId w:val="8"/>
        </w:numPr>
        <w:tabs>
          <w:tab w:val="left" w:leader="dot" w:pos="8505"/>
        </w:tabs>
        <w:spacing w:before="100" w:beforeAutospacing="1" w:after="100" w:afterAutospacing="1" w:line="360" w:lineRule="auto"/>
        <w:rPr>
          <w:rFonts w:asciiTheme="majorBidi" w:hAnsiTheme="majorBidi" w:cstheme="majorBidi"/>
          <w:sz w:val="24"/>
          <w:szCs w:val="24"/>
          <w:lang w:bidi="ar-DZ"/>
        </w:rPr>
      </w:pPr>
      <w:r>
        <w:rPr>
          <w:rFonts w:asciiTheme="majorBidi" w:hAnsiTheme="majorBidi" w:cstheme="majorBidi"/>
          <w:sz w:val="24"/>
          <w:szCs w:val="24"/>
          <w:lang w:bidi="ar-DZ"/>
        </w:rPr>
        <w:t>Courbe hypsométrique</w:t>
      </w:r>
      <w:r>
        <w:rPr>
          <w:rFonts w:asciiTheme="majorBidi" w:hAnsiTheme="majorBidi" w:cstheme="majorBidi"/>
          <w:sz w:val="24"/>
          <w:szCs w:val="24"/>
          <w:lang w:bidi="ar-DZ"/>
        </w:rPr>
        <w:tab/>
      </w:r>
      <w:r>
        <w:rPr>
          <w:rFonts w:asciiTheme="majorBidi" w:hAnsiTheme="majorBidi" w:cstheme="majorBidi"/>
          <w:sz w:val="24"/>
          <w:szCs w:val="24"/>
          <w:lang w:bidi="ar-DZ"/>
        </w:rPr>
        <w:t>40</w:t>
      </w:r>
    </w:p>
    <w:p>
      <w:pPr>
        <w:pStyle w:val="10"/>
        <w:numPr>
          <w:ilvl w:val="1"/>
          <w:numId w:val="8"/>
        </w:numPr>
        <w:tabs>
          <w:tab w:val="left" w:leader="dot" w:pos="8505"/>
        </w:tabs>
        <w:spacing w:before="100" w:beforeAutospacing="1" w:after="100" w:afterAutospacing="1" w:line="360" w:lineRule="auto"/>
        <w:rPr>
          <w:rFonts w:asciiTheme="majorBidi" w:hAnsiTheme="majorBidi" w:cstheme="majorBidi"/>
          <w:sz w:val="24"/>
          <w:szCs w:val="24"/>
          <w:lang w:bidi="ar-DZ"/>
        </w:rPr>
      </w:pPr>
      <w:r>
        <w:rPr>
          <w:rFonts w:asciiTheme="majorBidi" w:hAnsiTheme="majorBidi" w:cstheme="majorBidi"/>
          <w:sz w:val="24"/>
          <w:szCs w:val="24"/>
          <w:lang w:bidi="ar-DZ"/>
        </w:rPr>
        <w:t>Altitude médiane</w:t>
      </w:r>
      <w:r>
        <w:rPr>
          <w:rFonts w:asciiTheme="majorBidi" w:hAnsiTheme="majorBidi" w:cstheme="majorBidi"/>
          <w:sz w:val="24"/>
          <w:szCs w:val="24"/>
          <w:lang w:bidi="ar-DZ"/>
        </w:rPr>
        <w:tab/>
      </w:r>
      <w:r>
        <w:rPr>
          <w:rFonts w:asciiTheme="majorBidi" w:hAnsiTheme="majorBidi" w:cstheme="majorBidi"/>
          <w:sz w:val="24"/>
          <w:szCs w:val="24"/>
          <w:lang w:bidi="ar-DZ"/>
        </w:rPr>
        <w:t>42</w:t>
      </w:r>
    </w:p>
    <w:p>
      <w:pPr>
        <w:pStyle w:val="10"/>
        <w:numPr>
          <w:ilvl w:val="1"/>
          <w:numId w:val="8"/>
        </w:numPr>
        <w:tabs>
          <w:tab w:val="left" w:leader="dot" w:pos="8505"/>
        </w:tabs>
        <w:spacing w:before="100" w:beforeAutospacing="1" w:after="100" w:afterAutospacing="1" w:line="360" w:lineRule="auto"/>
        <w:rPr>
          <w:rFonts w:asciiTheme="majorBidi" w:hAnsiTheme="majorBidi" w:cstheme="majorBidi"/>
          <w:sz w:val="24"/>
          <w:szCs w:val="24"/>
          <w:lang w:bidi="ar-DZ"/>
        </w:rPr>
      </w:pPr>
      <w:r>
        <w:rPr>
          <w:rFonts w:asciiTheme="majorBidi" w:hAnsiTheme="majorBidi" w:cstheme="majorBidi"/>
          <w:sz w:val="24"/>
          <w:szCs w:val="24"/>
          <w:lang w:bidi="ar-DZ"/>
        </w:rPr>
        <w:t xml:space="preserve"> Indice de pente </w:t>
      </w:r>
      <w:r>
        <w:rPr>
          <w:rFonts w:asciiTheme="majorBidi" w:hAnsiTheme="majorBidi" w:cstheme="majorBidi"/>
          <w:sz w:val="24"/>
          <w:szCs w:val="24"/>
          <w:lang w:bidi="ar-DZ"/>
        </w:rPr>
        <w:tab/>
      </w:r>
      <w:r>
        <w:rPr>
          <w:rFonts w:asciiTheme="majorBidi" w:hAnsiTheme="majorBidi" w:cstheme="majorBidi"/>
          <w:sz w:val="24"/>
          <w:szCs w:val="24"/>
          <w:lang w:bidi="ar-DZ"/>
        </w:rPr>
        <w:t>42</w:t>
      </w:r>
    </w:p>
    <w:p>
      <w:pPr>
        <w:pStyle w:val="10"/>
        <w:numPr>
          <w:ilvl w:val="0"/>
          <w:numId w:val="8"/>
        </w:numPr>
        <w:tabs>
          <w:tab w:val="left" w:leader="dot" w:pos="8505"/>
        </w:tabs>
        <w:spacing w:before="100" w:beforeAutospacing="1" w:after="100" w:afterAutospacing="1" w:line="360" w:lineRule="auto"/>
        <w:rPr>
          <w:rFonts w:asciiTheme="majorBidi" w:hAnsiTheme="majorBidi" w:cstheme="majorBidi"/>
          <w:sz w:val="24"/>
          <w:szCs w:val="24"/>
          <w:lang w:bidi="ar-DZ"/>
        </w:rPr>
      </w:pPr>
      <w:r>
        <w:rPr>
          <w:rFonts w:asciiTheme="majorBidi" w:hAnsiTheme="majorBidi" w:cstheme="majorBidi"/>
          <w:sz w:val="24"/>
          <w:szCs w:val="24"/>
        </w:rPr>
        <w:t>Organisation du réseau hydrographique</w:t>
      </w:r>
      <w:r>
        <w:rPr>
          <w:rFonts w:asciiTheme="majorBidi" w:hAnsiTheme="majorBidi" w:cstheme="majorBidi"/>
          <w:sz w:val="24"/>
          <w:szCs w:val="24"/>
        </w:rPr>
        <w:tab/>
      </w:r>
      <w:r>
        <w:rPr>
          <w:rFonts w:asciiTheme="majorBidi" w:hAnsiTheme="majorBidi" w:cstheme="majorBidi"/>
          <w:sz w:val="24"/>
          <w:szCs w:val="24"/>
        </w:rPr>
        <w:t>42</w:t>
      </w:r>
    </w:p>
    <w:p>
      <w:pPr>
        <w:pStyle w:val="10"/>
        <w:numPr>
          <w:ilvl w:val="0"/>
          <w:numId w:val="8"/>
        </w:numPr>
        <w:tabs>
          <w:tab w:val="left" w:leader="dot" w:pos="8505"/>
        </w:tabs>
        <w:spacing w:after="0" w:line="360" w:lineRule="auto"/>
        <w:rPr>
          <w:rFonts w:asciiTheme="majorBidi" w:hAnsiTheme="majorBidi" w:cstheme="majorBidi"/>
          <w:sz w:val="24"/>
          <w:szCs w:val="24"/>
          <w:lang w:bidi="ar-DZ"/>
        </w:rPr>
      </w:pPr>
      <w:r>
        <w:rPr>
          <w:rFonts w:asciiTheme="majorBidi" w:hAnsiTheme="majorBidi" w:cstheme="majorBidi"/>
          <w:sz w:val="24"/>
          <w:szCs w:val="24"/>
        </w:rPr>
        <w:t>Fréquence des cours d’eau</w:t>
      </w:r>
      <w:r>
        <w:rPr>
          <w:rFonts w:asciiTheme="majorBidi" w:hAnsiTheme="majorBidi" w:cstheme="majorBidi"/>
          <w:sz w:val="24"/>
          <w:szCs w:val="24"/>
        </w:rPr>
        <w:tab/>
      </w:r>
      <w:r>
        <w:rPr>
          <w:rFonts w:asciiTheme="majorBidi" w:hAnsiTheme="majorBidi" w:cstheme="majorBidi"/>
          <w:sz w:val="24"/>
          <w:szCs w:val="24"/>
        </w:rPr>
        <w:t>45</w:t>
      </w:r>
    </w:p>
    <w:p>
      <w:pPr>
        <w:pStyle w:val="10"/>
        <w:numPr>
          <w:ilvl w:val="0"/>
          <w:numId w:val="8"/>
        </w:numPr>
        <w:tabs>
          <w:tab w:val="left" w:leader="dot" w:pos="8505"/>
        </w:tabs>
        <w:spacing w:after="0" w:line="360" w:lineRule="auto"/>
        <w:rPr>
          <w:rFonts w:asciiTheme="majorBidi" w:hAnsiTheme="majorBidi" w:cstheme="majorBidi"/>
          <w:sz w:val="24"/>
          <w:szCs w:val="24"/>
          <w:lang w:bidi="ar-DZ"/>
        </w:rPr>
      </w:pPr>
      <w:r>
        <w:rPr>
          <w:rFonts w:asciiTheme="majorBidi" w:hAnsiTheme="majorBidi" w:cstheme="majorBidi"/>
          <w:sz w:val="24"/>
          <w:szCs w:val="24"/>
        </w:rPr>
        <w:t>Rapport de confluence</w:t>
      </w:r>
      <w:r>
        <w:rPr>
          <w:rFonts w:asciiTheme="majorBidi" w:hAnsiTheme="majorBidi" w:cstheme="majorBidi"/>
          <w:sz w:val="24"/>
          <w:szCs w:val="24"/>
        </w:rPr>
        <w:tab/>
      </w:r>
      <w:r>
        <w:rPr>
          <w:rFonts w:asciiTheme="majorBidi" w:hAnsiTheme="majorBidi" w:cstheme="majorBidi"/>
          <w:sz w:val="24"/>
          <w:szCs w:val="24"/>
        </w:rPr>
        <w:t>45</w:t>
      </w:r>
    </w:p>
    <w:p>
      <w:pPr>
        <w:tabs>
          <w:tab w:val="left" w:leader="dot" w:pos="8505"/>
        </w:tabs>
        <w:spacing w:after="120"/>
        <w:rPr>
          <w:rFonts w:asciiTheme="majorBidi" w:hAnsiTheme="majorBidi" w:cstheme="majorBidi"/>
          <w:sz w:val="24"/>
          <w:szCs w:val="24"/>
        </w:rPr>
      </w:pPr>
      <w:r>
        <w:rPr>
          <w:rFonts w:asciiTheme="majorBidi" w:hAnsiTheme="majorBidi" w:cstheme="majorBidi"/>
          <w:sz w:val="24"/>
          <w:szCs w:val="24"/>
        </w:rPr>
        <w:t>Conclusion</w:t>
      </w:r>
      <w:r>
        <w:rPr>
          <w:rFonts w:asciiTheme="majorBidi" w:hAnsiTheme="majorBidi" w:cstheme="majorBidi"/>
          <w:sz w:val="24"/>
          <w:szCs w:val="24"/>
        </w:rPr>
        <w:tab/>
      </w:r>
      <w:r>
        <w:rPr>
          <w:rFonts w:asciiTheme="majorBidi" w:hAnsiTheme="majorBidi" w:cstheme="majorBidi"/>
          <w:sz w:val="24"/>
          <w:szCs w:val="24"/>
        </w:rPr>
        <w:t>46</w:t>
      </w:r>
    </w:p>
    <w:p>
      <w:pPr>
        <w:spacing w:after="120"/>
        <w:jc w:val="center"/>
        <w:rPr>
          <w:rFonts w:asciiTheme="majorBidi" w:hAnsiTheme="majorBidi" w:cstheme="majorBidi"/>
          <w:sz w:val="24"/>
          <w:szCs w:val="24"/>
        </w:rPr>
      </w:pPr>
      <w:r>
        <w:rPr>
          <w:rFonts w:asciiTheme="majorBidi" w:hAnsiTheme="majorBidi" w:cstheme="majorBidi"/>
          <w:sz w:val="24"/>
          <w:szCs w:val="24"/>
        </w:rPr>
        <w:t>Chapitre III : traitement des eaux</w:t>
      </w:r>
    </w:p>
    <w:p>
      <w:pPr>
        <w:tabs>
          <w:tab w:val="left" w:leader="dot" w:pos="8505"/>
        </w:tabs>
        <w:ind w:left="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Introduction</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46</w:t>
      </w:r>
    </w:p>
    <w:p>
      <w:pPr>
        <w:pStyle w:val="10"/>
        <w:numPr>
          <w:ilvl w:val="0"/>
          <w:numId w:val="9"/>
        </w:numPr>
        <w:tabs>
          <w:tab w:val="left" w:leader="dot" w:pos="8505"/>
        </w:tabs>
        <w:spacing w:after="0" w:line="360" w:lineRule="auto"/>
        <w:ind w:left="709" w:hanging="425"/>
        <w:rPr>
          <w:rFonts w:asciiTheme="majorBidi" w:hAnsiTheme="majorBidi" w:cstheme="majorBidi"/>
          <w:color w:val="000000" w:themeColor="text1"/>
          <w:sz w:val="24"/>
          <w:szCs w:val="24"/>
        </w:rPr>
      </w:pPr>
      <w:r>
        <w:rPr>
          <w:rFonts w:asciiTheme="majorBidi" w:hAnsiTheme="majorBidi" w:cstheme="majorBidi"/>
          <w:sz w:val="24"/>
          <w:szCs w:val="24"/>
        </w:rPr>
        <w:t>Définition des eaux de surface </w:t>
      </w:r>
      <w:r>
        <w:rPr>
          <w:rFonts w:asciiTheme="majorBidi" w:hAnsiTheme="majorBidi" w:cstheme="majorBidi"/>
          <w:sz w:val="24"/>
          <w:szCs w:val="24"/>
        </w:rPr>
        <w:tab/>
      </w:r>
      <w:r>
        <w:rPr>
          <w:rFonts w:asciiTheme="majorBidi" w:hAnsiTheme="majorBidi" w:cstheme="majorBidi"/>
          <w:sz w:val="24"/>
          <w:szCs w:val="24"/>
        </w:rPr>
        <w:t>46</w:t>
      </w:r>
    </w:p>
    <w:p>
      <w:pPr>
        <w:pStyle w:val="10"/>
        <w:numPr>
          <w:ilvl w:val="0"/>
          <w:numId w:val="9"/>
        </w:numPr>
        <w:tabs>
          <w:tab w:val="left" w:leader="dot" w:pos="8505"/>
        </w:tabs>
        <w:spacing w:after="0" w:line="360" w:lineRule="auto"/>
        <w:ind w:left="709" w:hanging="425"/>
        <w:rPr>
          <w:rFonts w:asciiTheme="majorBidi" w:hAnsiTheme="majorBidi" w:cstheme="majorBidi"/>
          <w:color w:val="000000" w:themeColor="text1"/>
          <w:sz w:val="24"/>
          <w:szCs w:val="24"/>
        </w:rPr>
      </w:pPr>
      <w:r>
        <w:rPr>
          <w:rFonts w:asciiTheme="majorBidi" w:hAnsiTheme="majorBidi" w:cstheme="majorBidi"/>
          <w:sz w:val="24"/>
          <w:szCs w:val="24"/>
        </w:rPr>
        <w:t>Définition de traitement des eaux </w:t>
      </w:r>
      <w:r>
        <w:rPr>
          <w:rFonts w:asciiTheme="majorBidi" w:hAnsiTheme="majorBidi" w:cstheme="majorBidi"/>
          <w:sz w:val="24"/>
          <w:szCs w:val="24"/>
        </w:rPr>
        <w:tab/>
      </w:r>
      <w:r>
        <w:rPr>
          <w:rFonts w:asciiTheme="majorBidi" w:hAnsiTheme="majorBidi" w:cstheme="majorBidi"/>
          <w:sz w:val="24"/>
          <w:szCs w:val="24"/>
        </w:rPr>
        <w:t>46</w:t>
      </w:r>
    </w:p>
    <w:p>
      <w:pPr>
        <w:pStyle w:val="10"/>
        <w:numPr>
          <w:ilvl w:val="0"/>
          <w:numId w:val="9"/>
        </w:numPr>
        <w:tabs>
          <w:tab w:val="left" w:leader="dot" w:pos="8505"/>
        </w:tabs>
        <w:spacing w:before="100" w:beforeAutospacing="1" w:after="100" w:afterAutospacing="1" w:line="360" w:lineRule="auto"/>
        <w:ind w:left="709" w:hanging="425"/>
        <w:rPr>
          <w:rFonts w:asciiTheme="majorBidi" w:hAnsiTheme="majorBidi" w:cstheme="majorBidi"/>
          <w:color w:val="000000" w:themeColor="text1"/>
          <w:sz w:val="24"/>
          <w:szCs w:val="24"/>
        </w:rPr>
      </w:pPr>
      <w:r>
        <w:rPr>
          <w:rFonts w:asciiTheme="majorBidi" w:hAnsiTheme="majorBidi" w:cstheme="majorBidi"/>
          <w:sz w:val="24"/>
          <w:szCs w:val="24"/>
        </w:rPr>
        <w:t xml:space="preserve">Définition des eaux potables </w:t>
      </w:r>
      <w:r>
        <w:rPr>
          <w:rFonts w:asciiTheme="majorBidi" w:hAnsiTheme="majorBidi" w:cstheme="majorBidi"/>
          <w:sz w:val="24"/>
          <w:szCs w:val="24"/>
        </w:rPr>
        <w:tab/>
      </w:r>
      <w:r>
        <w:rPr>
          <w:rFonts w:asciiTheme="majorBidi" w:hAnsiTheme="majorBidi" w:cstheme="majorBidi"/>
          <w:sz w:val="24"/>
          <w:szCs w:val="24"/>
        </w:rPr>
        <w:t>46</w:t>
      </w:r>
    </w:p>
    <w:p>
      <w:pPr>
        <w:pStyle w:val="10"/>
        <w:numPr>
          <w:ilvl w:val="1"/>
          <w:numId w:val="9"/>
        </w:numPr>
        <w:tabs>
          <w:tab w:val="left" w:leader="dot" w:pos="8505"/>
        </w:tabs>
        <w:spacing w:before="100" w:beforeAutospacing="1" w:after="100" w:afterAutospacing="1" w:line="360" w:lineRule="auto"/>
        <w:rPr>
          <w:rFonts w:asciiTheme="majorBidi" w:hAnsiTheme="majorBidi" w:cstheme="majorBidi"/>
          <w:color w:val="000000" w:themeColor="text1"/>
          <w:sz w:val="24"/>
          <w:szCs w:val="24"/>
        </w:rPr>
      </w:pPr>
      <w:r>
        <w:rPr>
          <w:rFonts w:asciiTheme="majorBidi" w:hAnsiTheme="majorBidi" w:cstheme="majorBidi"/>
          <w:sz w:val="24"/>
          <w:szCs w:val="24"/>
        </w:rPr>
        <w:t>Traitement des eaux potables </w:t>
      </w:r>
      <w:r>
        <w:rPr>
          <w:rFonts w:asciiTheme="majorBidi" w:hAnsiTheme="majorBidi" w:cstheme="majorBidi"/>
          <w:sz w:val="24"/>
          <w:szCs w:val="24"/>
        </w:rPr>
        <w:tab/>
      </w:r>
      <w:r>
        <w:rPr>
          <w:rFonts w:asciiTheme="majorBidi" w:hAnsiTheme="majorBidi" w:cstheme="majorBidi"/>
          <w:sz w:val="24"/>
          <w:szCs w:val="24"/>
        </w:rPr>
        <w:t>47</w:t>
      </w:r>
    </w:p>
    <w:p>
      <w:pPr>
        <w:pStyle w:val="10"/>
        <w:numPr>
          <w:ilvl w:val="1"/>
          <w:numId w:val="9"/>
        </w:numPr>
        <w:tabs>
          <w:tab w:val="left" w:leader="dot" w:pos="8505"/>
        </w:tabs>
        <w:spacing w:before="100" w:beforeAutospacing="1" w:after="100" w:afterAutospacing="1" w:line="360" w:lineRule="auto"/>
        <w:rPr>
          <w:rFonts w:asciiTheme="majorBidi" w:hAnsiTheme="majorBidi" w:cstheme="majorBidi"/>
          <w:color w:val="000000" w:themeColor="text1"/>
          <w:sz w:val="24"/>
          <w:szCs w:val="24"/>
        </w:rPr>
      </w:pPr>
      <w:r>
        <w:rPr>
          <w:rFonts w:asciiTheme="majorBidi" w:hAnsiTheme="majorBidi" w:cstheme="majorBidi"/>
          <w:sz w:val="24"/>
          <w:szCs w:val="24"/>
        </w:rPr>
        <w:t xml:space="preserve"> Les étapes du traitement des eaux potable</w:t>
      </w:r>
      <w:r>
        <w:rPr>
          <w:rFonts w:asciiTheme="majorBidi" w:hAnsiTheme="majorBidi" w:cstheme="majorBidi"/>
          <w:sz w:val="24"/>
          <w:szCs w:val="24"/>
        </w:rPr>
        <w:tab/>
      </w:r>
      <w:r>
        <w:rPr>
          <w:rFonts w:asciiTheme="majorBidi" w:hAnsiTheme="majorBidi" w:cstheme="majorBidi"/>
          <w:sz w:val="24"/>
          <w:szCs w:val="24"/>
        </w:rPr>
        <w:t>47</w:t>
      </w:r>
    </w:p>
    <w:p>
      <w:pPr>
        <w:pStyle w:val="10"/>
        <w:tabs>
          <w:tab w:val="left" w:leader="dot" w:pos="8505"/>
        </w:tabs>
        <w:spacing w:before="100" w:beforeAutospacing="1" w:after="100" w:afterAutospacing="1" w:line="360" w:lineRule="auto"/>
        <w:ind w:left="1211"/>
        <w:rPr>
          <w:rFonts w:asciiTheme="majorBidi" w:hAnsiTheme="majorBidi" w:cstheme="majorBidi"/>
          <w:sz w:val="24"/>
          <w:szCs w:val="24"/>
        </w:rPr>
      </w:pPr>
      <w:r>
        <w:rPr>
          <w:rFonts w:asciiTheme="majorBidi" w:hAnsiTheme="majorBidi" w:cstheme="majorBidi"/>
          <w:sz w:val="24"/>
          <w:szCs w:val="24"/>
        </w:rPr>
        <w:t>3.2.1. Paramètres  physico-chimique</w:t>
      </w:r>
      <w:r>
        <w:rPr>
          <w:rFonts w:asciiTheme="majorBidi" w:hAnsiTheme="majorBidi" w:cstheme="majorBidi"/>
          <w:sz w:val="24"/>
          <w:szCs w:val="24"/>
        </w:rPr>
        <w:tab/>
      </w:r>
      <w:r>
        <w:rPr>
          <w:rFonts w:asciiTheme="majorBidi" w:hAnsiTheme="majorBidi" w:cstheme="majorBidi"/>
          <w:sz w:val="24"/>
          <w:szCs w:val="24"/>
        </w:rPr>
        <w:t>49</w:t>
      </w:r>
    </w:p>
    <w:p>
      <w:pPr>
        <w:pStyle w:val="10"/>
        <w:tabs>
          <w:tab w:val="left" w:leader="dot" w:pos="8505"/>
        </w:tabs>
        <w:spacing w:before="100" w:beforeAutospacing="1" w:after="100" w:afterAutospacing="1" w:line="360" w:lineRule="auto"/>
        <w:ind w:left="1211"/>
        <w:rPr>
          <w:rFonts w:asciiTheme="majorBidi" w:hAnsiTheme="majorBidi" w:cstheme="majorBidi"/>
          <w:sz w:val="24"/>
          <w:szCs w:val="24"/>
        </w:rPr>
      </w:pPr>
      <w:r>
        <w:rPr>
          <w:rFonts w:asciiTheme="majorBidi" w:hAnsiTheme="majorBidi" w:cstheme="majorBidi"/>
          <w:sz w:val="24"/>
          <w:szCs w:val="24"/>
        </w:rPr>
        <w:t xml:space="preserve">3.2.2. Matière organique dans les eaux de surface </w:t>
      </w:r>
      <w:r>
        <w:rPr>
          <w:rFonts w:asciiTheme="majorBidi" w:hAnsiTheme="majorBidi" w:cstheme="majorBidi"/>
          <w:sz w:val="24"/>
          <w:szCs w:val="24"/>
        </w:rPr>
        <w:tab/>
      </w:r>
      <w:r>
        <w:rPr>
          <w:rFonts w:asciiTheme="majorBidi" w:hAnsiTheme="majorBidi" w:cstheme="majorBidi"/>
          <w:sz w:val="24"/>
          <w:szCs w:val="24"/>
        </w:rPr>
        <w:t>49</w:t>
      </w:r>
    </w:p>
    <w:p>
      <w:pPr>
        <w:pStyle w:val="10"/>
        <w:tabs>
          <w:tab w:val="left" w:leader="dot" w:pos="8505"/>
        </w:tabs>
        <w:spacing w:before="100" w:beforeAutospacing="1" w:after="100" w:afterAutospacing="1" w:line="360" w:lineRule="auto"/>
        <w:ind w:left="1211"/>
        <w:rPr>
          <w:rFonts w:asciiTheme="majorBidi" w:hAnsiTheme="majorBidi" w:cstheme="majorBidi"/>
          <w:sz w:val="24"/>
          <w:szCs w:val="24"/>
        </w:rPr>
      </w:pPr>
      <w:r>
        <w:rPr>
          <w:rFonts w:asciiTheme="majorBidi" w:hAnsiTheme="majorBidi" w:cstheme="majorBidi"/>
          <w:sz w:val="24"/>
          <w:szCs w:val="24"/>
        </w:rPr>
        <w:t>3.2.3. Métaux lourds</w:t>
      </w:r>
      <w:r>
        <w:rPr>
          <w:rFonts w:asciiTheme="majorBidi" w:hAnsiTheme="majorBidi" w:cstheme="majorBidi"/>
          <w:sz w:val="24"/>
          <w:szCs w:val="24"/>
        </w:rPr>
        <w:tab/>
      </w:r>
      <w:r>
        <w:rPr>
          <w:rFonts w:asciiTheme="majorBidi" w:hAnsiTheme="majorBidi" w:cstheme="majorBidi"/>
          <w:sz w:val="24"/>
          <w:szCs w:val="24"/>
        </w:rPr>
        <w:t>50</w:t>
      </w:r>
    </w:p>
    <w:p>
      <w:pPr>
        <w:pStyle w:val="10"/>
        <w:tabs>
          <w:tab w:val="left" w:leader="dot" w:pos="8505"/>
        </w:tabs>
        <w:spacing w:before="100" w:beforeAutospacing="1" w:after="100" w:afterAutospacing="1" w:line="360" w:lineRule="auto"/>
        <w:ind w:left="1211"/>
        <w:rPr>
          <w:rFonts w:asciiTheme="majorBidi" w:hAnsiTheme="majorBidi" w:cstheme="majorBidi"/>
          <w:sz w:val="24"/>
          <w:szCs w:val="24"/>
        </w:rPr>
      </w:pPr>
      <w:r>
        <w:rPr>
          <w:rFonts w:asciiTheme="majorBidi" w:hAnsiTheme="majorBidi" w:cstheme="majorBidi"/>
          <w:sz w:val="24"/>
          <w:szCs w:val="24"/>
        </w:rPr>
        <w:t>3.2.4. Les normes de potabilité de surface</w:t>
      </w:r>
      <w:r>
        <w:rPr>
          <w:rFonts w:asciiTheme="majorBidi" w:hAnsiTheme="majorBidi" w:cstheme="majorBidi"/>
          <w:sz w:val="24"/>
          <w:szCs w:val="24"/>
        </w:rPr>
        <w:tab/>
      </w:r>
      <w:r>
        <w:rPr>
          <w:rFonts w:asciiTheme="majorBidi" w:hAnsiTheme="majorBidi" w:cstheme="majorBidi"/>
          <w:sz w:val="24"/>
          <w:szCs w:val="24"/>
        </w:rPr>
        <w:t>52</w:t>
      </w:r>
    </w:p>
    <w:p>
      <w:pPr>
        <w:pStyle w:val="10"/>
        <w:tabs>
          <w:tab w:val="left" w:leader="dot" w:pos="8505"/>
        </w:tabs>
        <w:spacing w:before="100" w:beforeAutospacing="1" w:after="100" w:afterAutospacing="1" w:line="360" w:lineRule="auto"/>
        <w:ind w:left="1211"/>
        <w:rPr>
          <w:rFonts w:asciiTheme="majorBidi" w:hAnsiTheme="majorBidi" w:cstheme="majorBidi"/>
          <w:sz w:val="24"/>
          <w:szCs w:val="24"/>
        </w:rPr>
      </w:pPr>
      <w:r>
        <w:rPr>
          <w:rFonts w:asciiTheme="majorBidi" w:hAnsiTheme="majorBidi" w:cstheme="majorBidi"/>
          <w:sz w:val="24"/>
          <w:szCs w:val="24"/>
        </w:rPr>
        <w:t>3.2.5. Matière en suspension</w:t>
      </w:r>
      <w:r>
        <w:rPr>
          <w:rFonts w:asciiTheme="majorBidi" w:hAnsiTheme="majorBidi" w:cstheme="majorBidi"/>
          <w:sz w:val="24"/>
          <w:szCs w:val="24"/>
        </w:rPr>
        <w:tab/>
      </w:r>
      <w:r>
        <w:rPr>
          <w:rFonts w:asciiTheme="majorBidi" w:hAnsiTheme="majorBidi" w:cstheme="majorBidi"/>
          <w:sz w:val="24"/>
          <w:szCs w:val="24"/>
        </w:rPr>
        <w:t>52</w:t>
      </w:r>
    </w:p>
    <w:p>
      <w:pPr>
        <w:pStyle w:val="10"/>
        <w:tabs>
          <w:tab w:val="left" w:leader="dot" w:pos="8505"/>
        </w:tabs>
        <w:spacing w:before="100" w:beforeAutospacing="1" w:after="100" w:afterAutospacing="1" w:line="360" w:lineRule="auto"/>
        <w:ind w:left="1134" w:hanging="850"/>
        <w:rPr>
          <w:rFonts w:asciiTheme="majorBidi" w:hAnsiTheme="majorBidi" w:cstheme="majorBidi"/>
          <w:sz w:val="24"/>
          <w:szCs w:val="24"/>
        </w:rPr>
      </w:pPr>
      <w:r>
        <w:rPr>
          <w:rFonts w:asciiTheme="majorBidi" w:hAnsiTheme="majorBidi" w:cstheme="majorBidi"/>
          <w:sz w:val="24"/>
          <w:szCs w:val="24"/>
        </w:rPr>
        <w:t xml:space="preserve"> 4.   </w:t>
      </w:r>
      <w:r>
        <w:rPr>
          <w:rFonts w:asciiTheme="majorBidi" w:hAnsiTheme="majorBidi" w:cstheme="majorBidi"/>
          <w:color w:val="000000" w:themeColor="text1"/>
          <w:sz w:val="24"/>
          <w:szCs w:val="24"/>
        </w:rPr>
        <w:t>Traitement des eaux usées</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52</w:t>
      </w:r>
    </w:p>
    <w:p>
      <w:pPr>
        <w:pStyle w:val="10"/>
        <w:numPr>
          <w:ilvl w:val="1"/>
          <w:numId w:val="10"/>
        </w:numPr>
        <w:tabs>
          <w:tab w:val="left" w:leader="dot" w:pos="8505"/>
        </w:tabs>
        <w:spacing w:before="100" w:beforeAutospacing="1" w:after="100" w:afterAutospacing="1"/>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.Dégrillage</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53</w:t>
      </w:r>
    </w:p>
    <w:p>
      <w:pPr>
        <w:pStyle w:val="10"/>
        <w:numPr>
          <w:ilvl w:val="1"/>
          <w:numId w:val="10"/>
        </w:numPr>
        <w:tabs>
          <w:tab w:val="left" w:leader="dot" w:pos="8505"/>
        </w:tabs>
        <w:spacing w:before="100" w:beforeAutospacing="1" w:after="100" w:afterAutospacing="1"/>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.Dessablage</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53</w:t>
      </w:r>
    </w:p>
    <w:p>
      <w:pPr>
        <w:pStyle w:val="10"/>
        <w:numPr>
          <w:ilvl w:val="1"/>
          <w:numId w:val="10"/>
        </w:numPr>
        <w:tabs>
          <w:tab w:val="left" w:leader="dot" w:pos="8505"/>
        </w:tabs>
        <w:spacing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.Déshuilage et dégraissage</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53</w:t>
      </w:r>
    </w:p>
    <w:p>
      <w:pPr>
        <w:pStyle w:val="10"/>
        <w:numPr>
          <w:ilvl w:val="1"/>
          <w:numId w:val="10"/>
        </w:numPr>
        <w:tabs>
          <w:tab w:val="left" w:leader="dot" w:pos="8505"/>
        </w:tabs>
        <w:spacing w:before="100" w:beforeAutospacing="1" w:after="100" w:afterAutospacing="1"/>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.Floculation/décantation</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53</w:t>
      </w:r>
    </w:p>
    <w:p>
      <w:pPr>
        <w:pStyle w:val="10"/>
        <w:numPr>
          <w:ilvl w:val="1"/>
          <w:numId w:val="10"/>
        </w:numPr>
        <w:tabs>
          <w:tab w:val="left" w:leader="dot" w:pos="8505"/>
        </w:tabs>
        <w:spacing w:before="100" w:beforeAutospacing="1" w:after="100" w:afterAutospacing="1"/>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.Clarification </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53</w:t>
      </w:r>
    </w:p>
    <w:p>
      <w:pPr>
        <w:pStyle w:val="10"/>
        <w:numPr>
          <w:ilvl w:val="1"/>
          <w:numId w:val="10"/>
        </w:numPr>
        <w:tabs>
          <w:tab w:val="left" w:leader="dot" w:pos="8505"/>
        </w:tabs>
        <w:spacing w:before="100" w:beforeAutospacing="1" w:after="100" w:afterAutospacing="1"/>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.Traitement biologique </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53</w:t>
      </w:r>
    </w:p>
    <w:p>
      <w:pPr>
        <w:tabs>
          <w:tab w:val="left" w:leader="dot" w:pos="8505"/>
        </w:tabs>
        <w:ind w:left="426" w:firstLine="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5. Traitement des eaux de mer (dessalement)</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 xml:space="preserve">56     </w:t>
      </w:r>
    </w:p>
    <w:p>
      <w:pPr>
        <w:tabs>
          <w:tab w:val="left" w:leader="dot" w:pos="8505"/>
        </w:tabs>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5.1. Distillation</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56</w:t>
      </w:r>
    </w:p>
    <w:p>
      <w:pPr>
        <w:tabs>
          <w:tab w:val="left" w:leader="dot" w:pos="8505"/>
        </w:tabs>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5.2. Osmose inverse</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57</w:t>
      </w:r>
    </w:p>
    <w:p>
      <w:pPr>
        <w:tabs>
          <w:tab w:val="left" w:leader="dot" w:pos="8505"/>
        </w:tabs>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5.3. Electrodialyse</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57</w:t>
      </w:r>
    </w:p>
    <w:p>
      <w:pPr>
        <w:tabs>
          <w:tab w:val="left" w:leader="dot" w:pos="8505"/>
        </w:tabs>
        <w:ind w:left="0" w:firstLine="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6. Exemple d’application</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57</w:t>
      </w:r>
    </w:p>
    <w:p>
      <w:pPr>
        <w:tabs>
          <w:tab w:val="left" w:leader="dot" w:pos="8505"/>
        </w:tabs>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6.1. Présentation de la chaine de traitement et les distributions de l’eau du barrage kramis</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58</w:t>
      </w:r>
    </w:p>
    <w:p>
      <w:pPr>
        <w:tabs>
          <w:tab w:val="left" w:leader="dot" w:pos="8505"/>
        </w:tabs>
        <w:rPr>
          <w:rFonts w:asciiTheme="majorBidi" w:hAnsiTheme="majorBidi" w:cstheme="majorBidi"/>
          <w:sz w:val="24"/>
          <w:szCs w:val="24"/>
        </w:rPr>
      </w:pPr>
      <w:r>
        <w:rPr>
          <w:rFonts w:asciiTheme="majorBidi" w:hAnsiTheme="majorBidi" w:cstheme="majorBidi"/>
          <w:color w:val="000000" w:themeColor="text1"/>
          <w:sz w:val="24"/>
          <w:szCs w:val="24"/>
        </w:rPr>
        <w:t>6.2.</w:t>
      </w:r>
      <w:r>
        <w:rPr>
          <w:rFonts w:asciiTheme="majorBidi" w:hAnsiTheme="majorBidi" w:cstheme="majorBidi"/>
          <w:sz w:val="24"/>
          <w:szCs w:val="24"/>
        </w:rPr>
        <w:t xml:space="preserve"> Traitement  des eaux de barrage Kramis</w:t>
      </w:r>
      <w:r>
        <w:rPr>
          <w:rFonts w:asciiTheme="majorBidi" w:hAnsiTheme="majorBidi" w:cstheme="majorBidi"/>
          <w:sz w:val="24"/>
          <w:szCs w:val="24"/>
        </w:rPr>
        <w:tab/>
      </w:r>
      <w:r>
        <w:rPr>
          <w:rFonts w:asciiTheme="majorBidi" w:hAnsiTheme="majorBidi" w:cstheme="majorBidi"/>
          <w:sz w:val="24"/>
          <w:szCs w:val="24"/>
        </w:rPr>
        <w:t>59</w:t>
      </w:r>
    </w:p>
    <w:p>
      <w:pPr>
        <w:tabs>
          <w:tab w:val="left" w:leader="dot" w:pos="8505"/>
        </w:tabs>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6.3. Etude de la qualité des eaux de barrage Kramis </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66</w:t>
      </w:r>
    </w:p>
    <w:p>
      <w:pPr>
        <w:tabs>
          <w:tab w:val="left" w:leader="dot" w:pos="8505"/>
        </w:tabs>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6.3.1. Eau brute</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66</w:t>
      </w:r>
    </w:p>
    <w:p>
      <w:pPr>
        <w:tabs>
          <w:tab w:val="left" w:leader="dot" w:pos="8505"/>
        </w:tabs>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6.3.2. L’eau traitée</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72</w:t>
      </w:r>
    </w:p>
    <w:p>
      <w:pPr>
        <w:tabs>
          <w:tab w:val="left" w:leader="dot" w:pos="8505"/>
        </w:tabs>
        <w:ind w:left="0" w:firstLine="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7. Qualité des eaux d’irrigation</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75</w:t>
      </w:r>
    </w:p>
    <w:p>
      <w:pPr>
        <w:tabs>
          <w:tab w:val="left" w:leader="dot" w:pos="8505"/>
        </w:tabs>
        <w:ind w:left="0" w:firstLine="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Conclusion </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76</w:t>
      </w:r>
    </w:p>
    <w:p>
      <w:pPr>
        <w:tabs>
          <w:tab w:val="left" w:leader="dot" w:pos="8505"/>
        </w:tabs>
        <w:ind w:left="0" w:firstLine="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Conclusion générale </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77</w:t>
      </w:r>
    </w:p>
    <w:p>
      <w:pPr>
        <w:jc w:val="center"/>
        <w:rPr>
          <w:rFonts w:ascii="Times New Roman" w:hAnsi="Times New Roman" w:cs="Times New Roman"/>
          <w:sz w:val="24"/>
          <w:szCs w:val="24"/>
        </w:rPr>
      </w:pPr>
      <w:r>
        <w:rPr>
          <w:rFonts w:asciiTheme="majorBidi" w:hAnsiTheme="majorBidi" w:cstheme="majorBidi"/>
          <w:color w:val="000000" w:themeColor="text1"/>
          <w:sz w:val="24"/>
          <w:szCs w:val="24"/>
        </w:rPr>
        <w:t>Références bibliographiques</w:t>
      </w: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tabs>
          <w:tab w:val="left" w:pos="1892"/>
          <w:tab w:val="center" w:pos="4394"/>
          <w:tab w:val="left" w:leader="dot" w:pos="8505"/>
        </w:tabs>
        <w:rPr>
          <w:rFonts w:asciiTheme="majorBidi" w:hAnsiTheme="majorBidi" w:cstheme="majorBidi"/>
          <w:b/>
          <w:bCs/>
          <w:sz w:val="28"/>
          <w:szCs w:val="28"/>
        </w:rPr>
      </w:pPr>
      <w:r>
        <w:rPr>
          <w:rFonts w:asciiTheme="majorBidi" w:hAnsiTheme="majorBidi" w:cstheme="majorBidi"/>
          <w:b/>
          <w:bCs/>
          <w:sz w:val="28"/>
          <w:szCs w:val="28"/>
        </w:rPr>
        <w:t>Liste des figures</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 01</w:t>
      </w:r>
      <w:r>
        <w:rPr>
          <w:rFonts w:asciiTheme="majorBidi" w:hAnsiTheme="majorBidi" w:cstheme="majorBidi"/>
          <w:b/>
          <w:bCs/>
          <w:sz w:val="24"/>
          <w:szCs w:val="24"/>
        </w:rPr>
        <w:t xml:space="preserve">: </w:t>
      </w:r>
      <w:r>
        <w:rPr>
          <w:rFonts w:asciiTheme="majorBidi" w:hAnsiTheme="majorBidi" w:cstheme="majorBidi"/>
          <w:sz w:val="24"/>
          <w:szCs w:val="24"/>
        </w:rPr>
        <w:t>situation géographique général de la wilaya de Mostaganem et la commune d’Acheacha.</w:t>
      </w:r>
      <w:r>
        <w:rPr>
          <w:rFonts w:asciiTheme="majorBidi" w:hAnsiTheme="majorBidi" w:cstheme="majorBidi"/>
          <w:sz w:val="24"/>
          <w:szCs w:val="24"/>
        </w:rPr>
        <w:tab/>
      </w:r>
      <w:r>
        <w:rPr>
          <w:rFonts w:asciiTheme="majorBidi" w:hAnsiTheme="majorBidi" w:cstheme="majorBidi"/>
          <w:sz w:val="24"/>
          <w:szCs w:val="24"/>
        </w:rPr>
        <w:t>4</w:t>
      </w:r>
    </w:p>
    <w:p>
      <w:pPr>
        <w:tabs>
          <w:tab w:val="left" w:pos="1350"/>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 02 : Situation géographique local  (Google earth)</w:t>
      </w:r>
      <w:r>
        <w:rPr>
          <w:rFonts w:asciiTheme="majorBidi" w:hAnsiTheme="majorBidi" w:cstheme="majorBidi"/>
          <w:sz w:val="24"/>
          <w:szCs w:val="24"/>
        </w:rPr>
        <w:tab/>
      </w:r>
      <w:r>
        <w:rPr>
          <w:rFonts w:asciiTheme="majorBidi" w:hAnsiTheme="majorBidi" w:cstheme="majorBidi"/>
          <w:sz w:val="24"/>
          <w:szCs w:val="24"/>
        </w:rPr>
        <w:t>5</w:t>
      </w:r>
    </w:p>
    <w:p>
      <w:pPr>
        <w:tabs>
          <w:tab w:val="left" w:pos="1350"/>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n°03 : la géomorphologie générale du bassin du Chélif.</w:t>
      </w:r>
      <w:r>
        <w:rPr>
          <w:rFonts w:asciiTheme="majorBidi" w:hAnsiTheme="majorBidi" w:cstheme="majorBidi"/>
          <w:sz w:val="24"/>
          <w:szCs w:val="24"/>
        </w:rPr>
        <w:tab/>
      </w:r>
      <w:r>
        <w:rPr>
          <w:rFonts w:asciiTheme="majorBidi" w:hAnsiTheme="majorBidi" w:cstheme="majorBidi"/>
          <w:sz w:val="24"/>
          <w:szCs w:val="24"/>
        </w:rPr>
        <w:t>6</w:t>
      </w:r>
    </w:p>
    <w:p>
      <w:pPr>
        <w:shd w:val="clear" w:color="auto" w:fill="FFFFFF" w:themeFill="background1"/>
        <w:tabs>
          <w:tab w:val="left" w:pos="1350"/>
          <w:tab w:val="left" w:leader="dot" w:pos="8505"/>
        </w:tabs>
        <w:spacing w:before="0" w:beforeAutospacing="0" w:after="0" w:afterAutospacing="0"/>
        <w:rPr>
          <w:rFonts w:asciiTheme="majorBidi" w:hAnsiTheme="majorBidi" w:cstheme="majorBidi"/>
          <w:b/>
          <w:bCs/>
          <w:sz w:val="24"/>
          <w:szCs w:val="24"/>
        </w:rPr>
      </w:pPr>
      <w:r>
        <w:rPr>
          <w:rFonts w:asciiTheme="majorBidi" w:hAnsiTheme="majorBidi" w:cstheme="majorBidi"/>
          <w:sz w:val="24"/>
          <w:szCs w:val="24"/>
        </w:rPr>
        <w:t xml:space="preserve">Fig n°04 : Carte géologique et localisation géographique de la zone étudiée du bassin versant du l’oued kramis </w:t>
      </w:r>
      <w:r>
        <w:rPr>
          <w:rFonts w:asciiTheme="majorBidi" w:hAnsiTheme="majorBidi" w:cstheme="majorBidi"/>
          <w:sz w:val="24"/>
          <w:szCs w:val="24"/>
        </w:rPr>
        <w:tab/>
      </w:r>
      <w:r>
        <w:rPr>
          <w:rFonts w:asciiTheme="majorBidi" w:hAnsiTheme="majorBidi" w:cstheme="majorBidi"/>
          <w:sz w:val="24"/>
          <w:szCs w:val="24"/>
        </w:rPr>
        <w:t>8</w:t>
      </w:r>
    </w:p>
    <w:p>
      <w:pPr>
        <w:tabs>
          <w:tab w:val="left" w:pos="1350"/>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n°05 : Légende de la carte géologique précédente</w:t>
      </w:r>
      <w:r>
        <w:rPr>
          <w:rFonts w:asciiTheme="majorBidi" w:hAnsiTheme="majorBidi" w:cstheme="majorBidi"/>
          <w:sz w:val="24"/>
          <w:szCs w:val="24"/>
        </w:rPr>
        <w:tab/>
      </w:r>
      <w:r>
        <w:rPr>
          <w:rFonts w:asciiTheme="majorBidi" w:hAnsiTheme="majorBidi" w:cstheme="majorBidi"/>
          <w:sz w:val="24"/>
          <w:szCs w:val="24"/>
        </w:rPr>
        <w:t>9</w:t>
      </w:r>
    </w:p>
    <w:p>
      <w:pPr>
        <w:tabs>
          <w:tab w:val="left" w:pos="1350"/>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 06</w:t>
      </w:r>
      <w:r>
        <w:rPr>
          <w:rFonts w:asciiTheme="majorBidi" w:hAnsiTheme="majorBidi" w:cstheme="majorBidi"/>
          <w:b/>
          <w:bCs/>
          <w:sz w:val="24"/>
          <w:szCs w:val="24"/>
        </w:rPr>
        <w:t xml:space="preserve">: </w:t>
      </w:r>
      <w:r>
        <w:rPr>
          <w:rFonts w:asciiTheme="majorBidi" w:hAnsiTheme="majorBidi" w:cstheme="majorBidi"/>
          <w:sz w:val="24"/>
          <w:szCs w:val="24"/>
        </w:rPr>
        <w:t>Log litho-stratigraphique général de la région de Mostaganem d’après Perrodon, 1957</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11</w:t>
      </w:r>
    </w:p>
    <w:p>
      <w:pPr>
        <w:tabs>
          <w:tab w:val="left" w:pos="1350"/>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n°07</w:t>
      </w:r>
      <w:r>
        <w:rPr>
          <w:rFonts w:asciiTheme="majorBidi" w:hAnsiTheme="majorBidi" w:cstheme="majorBidi"/>
          <w:b/>
          <w:bCs/>
          <w:sz w:val="24"/>
          <w:szCs w:val="24"/>
        </w:rPr>
        <w:t xml:space="preserve"> : </w:t>
      </w:r>
      <w:r>
        <w:rPr>
          <w:rFonts w:asciiTheme="majorBidi" w:hAnsiTheme="majorBidi" w:cstheme="majorBidi"/>
          <w:sz w:val="24"/>
          <w:szCs w:val="24"/>
        </w:rPr>
        <w:t xml:space="preserve">carte géologique de plateaux d’Acheacha </w:t>
      </w:r>
      <w:r>
        <w:rPr>
          <w:rFonts w:asciiTheme="majorBidi" w:hAnsiTheme="majorBidi" w:cstheme="majorBidi"/>
          <w:sz w:val="24"/>
          <w:szCs w:val="24"/>
        </w:rPr>
        <w:tab/>
      </w:r>
      <w:r>
        <w:rPr>
          <w:rFonts w:asciiTheme="majorBidi" w:hAnsiTheme="majorBidi" w:cstheme="majorBidi"/>
          <w:sz w:val="24"/>
          <w:szCs w:val="24"/>
        </w:rPr>
        <w:t>12</w:t>
      </w:r>
    </w:p>
    <w:p>
      <w:pPr>
        <w:tabs>
          <w:tab w:val="left" w:pos="1350"/>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n°08.</w:t>
      </w:r>
      <w:r>
        <w:rPr>
          <w:rFonts w:asciiTheme="majorBidi" w:hAnsiTheme="majorBidi" w:cstheme="majorBidi"/>
          <w:b/>
          <w:bCs/>
          <w:sz w:val="24"/>
          <w:szCs w:val="24"/>
        </w:rPr>
        <w:t xml:space="preserve"> </w:t>
      </w:r>
      <w:r>
        <w:rPr>
          <w:rFonts w:asciiTheme="majorBidi" w:hAnsiTheme="majorBidi" w:cstheme="majorBidi"/>
          <w:sz w:val="24"/>
          <w:szCs w:val="24"/>
        </w:rPr>
        <w:t>Coupe structurale régionale recoupant les éléments structuraux de l’Ouest Algérien</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14</w:t>
      </w:r>
    </w:p>
    <w:p>
      <w:pPr>
        <w:tabs>
          <w:tab w:val="left" w:pos="1350"/>
          <w:tab w:val="left" w:leader="dot" w:pos="8505"/>
        </w:tabs>
        <w:spacing w:before="0" w:beforeAutospacing="0" w:after="0" w:afterAutospacing="0"/>
        <w:rPr>
          <w:rFonts w:asciiTheme="majorBidi" w:hAnsiTheme="majorBidi" w:cstheme="majorBidi"/>
          <w:b/>
          <w:bCs/>
          <w:sz w:val="24"/>
          <w:szCs w:val="24"/>
        </w:rPr>
      </w:pPr>
      <w:r>
        <w:rPr>
          <w:rFonts w:asciiTheme="majorBidi" w:hAnsiTheme="majorBidi" w:cstheme="majorBidi"/>
          <w:sz w:val="24"/>
          <w:szCs w:val="24"/>
        </w:rPr>
        <w:t>Fig n° 09:</w:t>
      </w:r>
      <w:r>
        <w:rPr>
          <w:rFonts w:asciiTheme="majorBidi" w:hAnsiTheme="majorBidi" w:cstheme="majorBidi"/>
          <w:b/>
          <w:bCs/>
          <w:sz w:val="24"/>
          <w:szCs w:val="24"/>
        </w:rPr>
        <w:t xml:space="preserve"> </w:t>
      </w:r>
      <w:r>
        <w:rPr>
          <w:rFonts w:asciiTheme="majorBidi" w:hAnsiTheme="majorBidi" w:cstheme="majorBidi"/>
          <w:sz w:val="24"/>
          <w:szCs w:val="24"/>
        </w:rPr>
        <w:t>carte hydrographique de secteur étudié</w:t>
      </w:r>
      <w:r>
        <w:rPr>
          <w:rFonts w:asciiTheme="majorBidi" w:hAnsiTheme="majorBidi" w:cstheme="majorBidi"/>
          <w:sz w:val="24"/>
          <w:szCs w:val="24"/>
        </w:rPr>
        <w:tab/>
      </w:r>
      <w:r>
        <w:rPr>
          <w:rFonts w:asciiTheme="majorBidi" w:hAnsiTheme="majorBidi" w:cstheme="majorBidi"/>
          <w:sz w:val="24"/>
          <w:szCs w:val="24"/>
        </w:rPr>
        <w:t>15</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 10 : carte pluviométrique de la région de Mostaganem (ANRH, 2012)</w:t>
      </w:r>
      <w:r>
        <w:rPr>
          <w:rFonts w:asciiTheme="majorBidi" w:hAnsiTheme="majorBidi" w:cstheme="majorBidi"/>
          <w:sz w:val="24"/>
          <w:szCs w:val="24"/>
        </w:rPr>
        <w:tab/>
      </w:r>
      <w:r>
        <w:rPr>
          <w:rFonts w:asciiTheme="majorBidi" w:hAnsiTheme="majorBidi" w:cstheme="majorBidi"/>
          <w:sz w:val="24"/>
          <w:szCs w:val="24"/>
        </w:rPr>
        <w:t>19</w:t>
      </w:r>
    </w:p>
    <w:p>
      <w:pPr>
        <w:tabs>
          <w:tab w:val="left" w:pos="1380"/>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 11: variations interannuelles  des précipitations période commune                         (1989-2008)</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20</w:t>
      </w:r>
    </w:p>
    <w:p>
      <w:pPr>
        <w:tabs>
          <w:tab w:val="left" w:pos="1380"/>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n°12 : Répartition moyennes mensuelles de la station de Mostaganem                             (1989 – 2008)</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21</w:t>
      </w:r>
    </w:p>
    <w:p>
      <w:pPr>
        <w:tabs>
          <w:tab w:val="left" w:pos="1215"/>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n°13 : Répartition mensuelles des précipitations de la station d’Oued  kramis</w:t>
      </w:r>
      <w:r>
        <w:rPr>
          <w:rFonts w:asciiTheme="majorBidi" w:hAnsiTheme="majorBidi" w:cstheme="majorBidi"/>
          <w:sz w:val="24"/>
          <w:szCs w:val="24"/>
        </w:rPr>
        <w:tab/>
      </w:r>
      <w:r>
        <w:rPr>
          <w:rFonts w:asciiTheme="majorBidi" w:hAnsiTheme="majorBidi" w:cstheme="majorBidi"/>
          <w:sz w:val="24"/>
          <w:szCs w:val="24"/>
        </w:rPr>
        <w:t>22</w:t>
      </w:r>
    </w:p>
    <w:p>
      <w:pPr>
        <w:tabs>
          <w:tab w:val="left" w:pos="1020"/>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n°14</w:t>
      </w:r>
      <w:r>
        <w:rPr>
          <w:rFonts w:asciiTheme="majorBidi" w:hAnsiTheme="majorBidi" w:cstheme="majorBidi"/>
          <w:b/>
          <w:bCs/>
          <w:sz w:val="24"/>
          <w:szCs w:val="24"/>
        </w:rPr>
        <w:t xml:space="preserve"> :</w:t>
      </w:r>
      <w:r>
        <w:rPr>
          <w:rFonts w:asciiTheme="majorBidi" w:hAnsiTheme="majorBidi" w:cstheme="majorBidi"/>
          <w:sz w:val="24"/>
          <w:szCs w:val="24"/>
        </w:rPr>
        <w:t xml:space="preserve"> précipitations saisonnières des deux stations (1989-2008)</w:t>
      </w:r>
      <w:r>
        <w:rPr>
          <w:rFonts w:asciiTheme="majorBidi" w:hAnsiTheme="majorBidi" w:cstheme="majorBidi"/>
          <w:sz w:val="24"/>
          <w:szCs w:val="24"/>
        </w:rPr>
        <w:tab/>
      </w:r>
      <w:r>
        <w:rPr>
          <w:rFonts w:asciiTheme="majorBidi" w:hAnsiTheme="majorBidi" w:cstheme="majorBidi"/>
          <w:sz w:val="24"/>
          <w:szCs w:val="24"/>
        </w:rPr>
        <w:t>23</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n°15 : Répartition graphique des variations des moyennes  mensuelles des températures de la Station de Mostaganem (1989-2008)</w:t>
      </w:r>
      <w:r>
        <w:rPr>
          <w:rFonts w:asciiTheme="majorBidi" w:hAnsiTheme="majorBidi" w:cstheme="majorBidi"/>
          <w:sz w:val="24"/>
          <w:szCs w:val="24"/>
        </w:rPr>
        <w:tab/>
      </w:r>
      <w:r>
        <w:rPr>
          <w:rFonts w:asciiTheme="majorBidi" w:hAnsiTheme="majorBidi" w:cstheme="majorBidi"/>
          <w:sz w:val="24"/>
          <w:szCs w:val="24"/>
        </w:rPr>
        <w:t>24</w:t>
      </w:r>
    </w:p>
    <w:p>
      <w:pPr>
        <w:tabs>
          <w:tab w:val="left" w:pos="1155"/>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n°16 : variation des vitesses maximales de vent- station de Mostaganem 1989-2008</w:t>
      </w:r>
      <w:r>
        <w:rPr>
          <w:rFonts w:asciiTheme="majorBidi" w:hAnsiTheme="majorBidi" w:cstheme="majorBidi"/>
          <w:sz w:val="24"/>
          <w:szCs w:val="24"/>
        </w:rPr>
        <w:tab/>
      </w:r>
      <w:r>
        <w:rPr>
          <w:rFonts w:asciiTheme="majorBidi" w:hAnsiTheme="majorBidi" w:cstheme="majorBidi"/>
          <w:sz w:val="24"/>
          <w:szCs w:val="24"/>
        </w:rPr>
        <w:t>25</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n°17: Variation de l’humidité mensuelle-station de Mostaganem pour une période de 1989-2008</w:t>
      </w:r>
      <w:r>
        <w:rPr>
          <w:rFonts w:asciiTheme="majorBidi" w:hAnsiTheme="majorBidi" w:cstheme="majorBidi"/>
          <w:sz w:val="24"/>
          <w:szCs w:val="24"/>
        </w:rPr>
        <w:tab/>
      </w:r>
      <w:r>
        <w:rPr>
          <w:rFonts w:asciiTheme="majorBidi" w:hAnsiTheme="majorBidi" w:cstheme="majorBidi"/>
          <w:sz w:val="24"/>
          <w:szCs w:val="24"/>
        </w:rPr>
        <w:t>26</w:t>
      </w:r>
    </w:p>
    <w:p>
      <w:pPr>
        <w:tabs>
          <w:tab w:val="left" w:pos="1260"/>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n°18 : Courbe pluviothermique de Mostaganem (1989-2008)</w:t>
      </w:r>
      <w:r>
        <w:rPr>
          <w:rFonts w:asciiTheme="majorBidi" w:hAnsiTheme="majorBidi" w:cstheme="majorBidi"/>
          <w:sz w:val="24"/>
          <w:szCs w:val="24"/>
        </w:rPr>
        <w:tab/>
      </w:r>
      <w:r>
        <w:rPr>
          <w:rFonts w:asciiTheme="majorBidi" w:hAnsiTheme="majorBidi" w:cstheme="majorBidi"/>
          <w:sz w:val="24"/>
          <w:szCs w:val="24"/>
        </w:rPr>
        <w:t>27</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n°19: d’indice d’aridité annuel de De-Martonne</w:t>
      </w:r>
      <w:r>
        <w:rPr>
          <w:rFonts w:asciiTheme="majorBidi" w:hAnsiTheme="majorBidi" w:cstheme="majorBidi"/>
          <w:sz w:val="24"/>
          <w:szCs w:val="24"/>
        </w:rPr>
        <w:tab/>
      </w:r>
      <w:r>
        <w:rPr>
          <w:rFonts w:asciiTheme="majorBidi" w:hAnsiTheme="majorBidi" w:cstheme="majorBidi"/>
          <w:sz w:val="24"/>
          <w:szCs w:val="24"/>
        </w:rPr>
        <w:t>28</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n°20 : Représentation de l’indice climatique d’Emberger</w:t>
      </w:r>
      <w:r>
        <w:rPr>
          <w:rFonts w:asciiTheme="majorBidi" w:hAnsiTheme="majorBidi" w:cstheme="majorBidi"/>
          <w:sz w:val="24"/>
          <w:szCs w:val="24"/>
        </w:rPr>
        <w:tab/>
      </w:r>
      <w:r>
        <w:rPr>
          <w:rFonts w:asciiTheme="majorBidi" w:hAnsiTheme="majorBidi" w:cstheme="majorBidi"/>
          <w:sz w:val="24"/>
          <w:szCs w:val="24"/>
        </w:rPr>
        <w:t>30</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n°21: Abaque de Verdeil pour calculer l’ETR</w:t>
      </w:r>
      <w:r>
        <w:rPr>
          <w:rFonts w:asciiTheme="majorBidi" w:hAnsiTheme="majorBidi" w:cstheme="majorBidi"/>
          <w:sz w:val="24"/>
          <w:szCs w:val="24"/>
        </w:rPr>
        <w:tab/>
      </w:r>
      <w:r>
        <w:rPr>
          <w:rFonts w:asciiTheme="majorBidi" w:hAnsiTheme="majorBidi" w:cstheme="majorBidi"/>
          <w:sz w:val="24"/>
          <w:szCs w:val="24"/>
        </w:rPr>
        <w:t>33</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n°22 : Abaque de Wundt pour calculer l’ETR. (Modifié par Coutagne)</w:t>
      </w:r>
      <w:r>
        <w:rPr>
          <w:rFonts w:asciiTheme="majorBidi" w:hAnsiTheme="majorBidi" w:cstheme="majorBidi"/>
          <w:sz w:val="24"/>
          <w:szCs w:val="24"/>
        </w:rPr>
        <w:tab/>
      </w:r>
      <w:r>
        <w:rPr>
          <w:rFonts w:asciiTheme="majorBidi" w:hAnsiTheme="majorBidi" w:cstheme="majorBidi"/>
          <w:sz w:val="24"/>
          <w:szCs w:val="24"/>
        </w:rPr>
        <w:t>34</w:t>
      </w:r>
    </w:p>
    <w:p>
      <w:pPr>
        <w:tabs>
          <w:tab w:val="left" w:leader="dot" w:pos="8505"/>
        </w:tabs>
        <w:spacing w:before="0" w:beforeAutospacing="0" w:after="0" w:afterAutospacing="0"/>
        <w:rPr>
          <w:rFonts w:asciiTheme="majorBidi" w:hAnsiTheme="majorBidi" w:cstheme="majorBidi"/>
          <w:sz w:val="24"/>
          <w:szCs w:val="24"/>
          <w:lang w:bidi="ar-DZ"/>
        </w:rPr>
      </w:pPr>
      <w:r>
        <w:rPr>
          <w:rFonts w:asciiTheme="majorBidi" w:hAnsiTheme="majorBidi" w:cstheme="majorBidi"/>
          <w:sz w:val="24"/>
          <w:szCs w:val="24"/>
          <w:lang w:bidi="ar-DZ"/>
        </w:rPr>
        <w:t>Fig n°23 : Représentation graphique du rectangle équivalent</w:t>
      </w:r>
      <w:r>
        <w:rPr>
          <w:rFonts w:asciiTheme="majorBidi" w:hAnsiTheme="majorBidi" w:cstheme="majorBidi"/>
          <w:sz w:val="24"/>
          <w:szCs w:val="24"/>
          <w:lang w:bidi="ar-DZ"/>
        </w:rPr>
        <w:tab/>
      </w:r>
      <w:r>
        <w:rPr>
          <w:rFonts w:asciiTheme="majorBidi" w:hAnsiTheme="majorBidi" w:cstheme="majorBidi"/>
          <w:sz w:val="24"/>
          <w:szCs w:val="24"/>
          <w:lang w:bidi="ar-DZ"/>
        </w:rPr>
        <w:t>40</w:t>
      </w:r>
    </w:p>
    <w:p>
      <w:pPr>
        <w:tabs>
          <w:tab w:val="left" w:leader="dot" w:pos="8505"/>
        </w:tabs>
        <w:spacing w:before="0" w:beforeAutospacing="0" w:after="0" w:afterAutospacing="0"/>
        <w:rPr>
          <w:rFonts w:asciiTheme="majorBidi" w:hAnsiTheme="majorBidi" w:cstheme="majorBidi"/>
          <w:sz w:val="24"/>
          <w:szCs w:val="24"/>
          <w:lang w:bidi="ar-DZ"/>
        </w:rPr>
      </w:pPr>
      <w:r>
        <w:rPr>
          <w:rFonts w:asciiTheme="majorBidi" w:hAnsiTheme="majorBidi" w:cstheme="majorBidi"/>
          <w:sz w:val="24"/>
          <w:szCs w:val="24"/>
          <w:lang w:bidi="ar-DZ"/>
        </w:rPr>
        <w:t>Fig n°24</w:t>
      </w:r>
      <w:r>
        <w:rPr>
          <w:rFonts w:asciiTheme="majorBidi" w:hAnsiTheme="majorBidi" w:cstheme="majorBidi"/>
          <w:b/>
          <w:bCs/>
          <w:sz w:val="24"/>
          <w:szCs w:val="24"/>
          <w:lang w:bidi="ar-DZ"/>
        </w:rPr>
        <w:t xml:space="preserve"> </w:t>
      </w:r>
      <w:r>
        <w:rPr>
          <w:rFonts w:asciiTheme="majorBidi" w:hAnsiTheme="majorBidi" w:cstheme="majorBidi"/>
          <w:sz w:val="24"/>
          <w:szCs w:val="24"/>
          <w:lang w:bidi="ar-DZ"/>
        </w:rPr>
        <w:t>: Courbe hypsométrique de bassin versant de l’oued Kramis</w:t>
      </w:r>
      <w:r>
        <w:rPr>
          <w:rFonts w:asciiTheme="majorBidi" w:hAnsiTheme="majorBidi" w:cstheme="majorBidi"/>
          <w:sz w:val="24"/>
          <w:szCs w:val="24"/>
          <w:lang w:bidi="ar-DZ"/>
        </w:rPr>
        <w:tab/>
      </w:r>
      <w:r>
        <w:rPr>
          <w:rFonts w:asciiTheme="majorBidi" w:hAnsiTheme="majorBidi" w:cstheme="majorBidi"/>
          <w:sz w:val="24"/>
          <w:szCs w:val="24"/>
          <w:lang w:bidi="ar-DZ"/>
        </w:rPr>
        <w:t>41</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n°25: Schéma explicatif de la notion de chevelu hydrographique</w:t>
      </w:r>
      <w:r>
        <w:rPr>
          <w:rFonts w:asciiTheme="majorBidi" w:hAnsiTheme="majorBidi" w:cstheme="majorBidi"/>
          <w:sz w:val="24"/>
          <w:szCs w:val="24"/>
        </w:rPr>
        <w:tab/>
      </w:r>
      <w:r>
        <w:rPr>
          <w:rFonts w:asciiTheme="majorBidi" w:hAnsiTheme="majorBidi" w:cstheme="majorBidi"/>
          <w:sz w:val="24"/>
          <w:szCs w:val="24"/>
        </w:rPr>
        <w:t>43</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n°26 : Bassin versant de l’oued Kramis et son chevelu hydrographique</w:t>
      </w:r>
      <w:r>
        <w:rPr>
          <w:rFonts w:asciiTheme="majorBidi" w:hAnsiTheme="majorBidi" w:cstheme="majorBidi"/>
          <w:sz w:val="24"/>
          <w:szCs w:val="24"/>
        </w:rPr>
        <w:tab/>
      </w:r>
      <w:r>
        <w:rPr>
          <w:rFonts w:asciiTheme="majorBidi" w:hAnsiTheme="majorBidi" w:cstheme="majorBidi"/>
          <w:sz w:val="24"/>
          <w:szCs w:val="24"/>
        </w:rPr>
        <w:t>40</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n°27 : Estimation graphique du rapport de confluence</w:t>
      </w:r>
      <w:r>
        <w:rPr>
          <w:rFonts w:asciiTheme="majorBidi" w:hAnsiTheme="majorBidi" w:cstheme="majorBidi"/>
          <w:sz w:val="24"/>
          <w:szCs w:val="24"/>
        </w:rPr>
        <w:tab/>
      </w:r>
      <w:r>
        <w:rPr>
          <w:rFonts w:asciiTheme="majorBidi" w:hAnsiTheme="majorBidi" w:cstheme="majorBidi"/>
          <w:sz w:val="24"/>
          <w:szCs w:val="24"/>
        </w:rPr>
        <w:t>46</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n°28 : les différentes étapes de traitement des eaux potables</w:t>
      </w:r>
      <w:r>
        <w:rPr>
          <w:rFonts w:asciiTheme="majorBidi" w:hAnsiTheme="majorBidi" w:cstheme="majorBidi"/>
          <w:sz w:val="24"/>
          <w:szCs w:val="24"/>
        </w:rPr>
        <w:tab/>
      </w:r>
      <w:r>
        <w:rPr>
          <w:rFonts w:asciiTheme="majorBidi" w:hAnsiTheme="majorBidi" w:cstheme="majorBidi"/>
          <w:sz w:val="24"/>
          <w:szCs w:val="24"/>
        </w:rPr>
        <w:t>48</w:t>
      </w:r>
    </w:p>
    <w:p>
      <w:pPr>
        <w:tabs>
          <w:tab w:val="left" w:leader="dot" w:pos="8505"/>
        </w:tabs>
        <w:spacing w:before="0" w:beforeAutospacing="0" w:after="0" w:afterAutospacing="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n°29 : les bassines des boues activées</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54</w:t>
      </w:r>
    </w:p>
    <w:p>
      <w:pPr>
        <w:tabs>
          <w:tab w:val="left" w:leader="dot" w:pos="8505"/>
        </w:tabs>
        <w:spacing w:before="0" w:beforeAutospacing="0" w:after="0" w:afterAutospacing="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n°30 : Coupe schématique de lits bactériens</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54</w:t>
      </w:r>
    </w:p>
    <w:p>
      <w:pPr>
        <w:tabs>
          <w:tab w:val="left" w:leader="dot" w:pos="8505"/>
        </w:tabs>
        <w:spacing w:before="0" w:beforeAutospacing="0" w:after="0" w:afterAutospacing="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 31: les bassins de lagunage</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55</w:t>
      </w:r>
    </w:p>
    <w:p>
      <w:pPr>
        <w:tabs>
          <w:tab w:val="left" w:leader="dot" w:pos="8505"/>
        </w:tabs>
        <w:spacing w:before="0" w:beforeAutospacing="0" w:after="0" w:afterAutospacing="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 32: Schéma général de traitement des eaux usées</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56</w:t>
      </w:r>
    </w:p>
    <w:p>
      <w:pPr>
        <w:tabs>
          <w:tab w:val="left" w:leader="dot" w:pos="8505"/>
        </w:tabs>
        <w:spacing w:before="0" w:beforeAutospacing="0" w:after="0" w:afterAutospacing="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 33: La distillation par les rayons du soleil</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57</w:t>
      </w:r>
    </w:p>
    <w:p>
      <w:pPr>
        <w:tabs>
          <w:tab w:val="left" w:leader="dot" w:pos="8505"/>
        </w:tabs>
        <w:spacing w:before="0" w:beforeAutospacing="0" w:after="0" w:afterAutospacing="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n°34 : Le principe général de L'électrodialyse</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57</w:t>
      </w:r>
    </w:p>
    <w:p>
      <w:pPr>
        <w:tabs>
          <w:tab w:val="left" w:leader="dot" w:pos="8505"/>
        </w:tabs>
        <w:spacing w:before="0" w:beforeAutospacing="0" w:after="0" w:afterAutospacing="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n°35</w:t>
      </w:r>
      <w:r>
        <w:rPr>
          <w:rFonts w:asciiTheme="majorBidi" w:hAnsiTheme="majorBidi" w:cstheme="majorBidi"/>
          <w:b/>
          <w:bCs/>
          <w:color w:val="000000" w:themeColor="text1"/>
          <w:sz w:val="24"/>
          <w:szCs w:val="24"/>
        </w:rPr>
        <w:t>:</w:t>
      </w:r>
      <w:r>
        <w:rPr>
          <w:rFonts w:asciiTheme="majorBidi" w:hAnsiTheme="majorBidi" w:cstheme="majorBidi"/>
          <w:color w:val="000000" w:themeColor="text1"/>
          <w:sz w:val="24"/>
          <w:szCs w:val="24"/>
        </w:rPr>
        <w:t xml:space="preserve"> Schémas générale du procédé de traitement de la zone Est de la wilaya de Mostaganem</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 xml:space="preserve">58                                                </w:t>
      </w:r>
    </w:p>
    <w:p>
      <w:pPr>
        <w:tabs>
          <w:tab w:val="left" w:pos="1395"/>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n°36 : chemin représentative de la station de traitement</w:t>
      </w:r>
      <w:r>
        <w:rPr>
          <w:rFonts w:asciiTheme="majorBidi" w:hAnsiTheme="majorBidi" w:cstheme="majorBidi"/>
          <w:sz w:val="24"/>
          <w:szCs w:val="24"/>
        </w:rPr>
        <w:tab/>
      </w:r>
      <w:r>
        <w:rPr>
          <w:rFonts w:asciiTheme="majorBidi" w:hAnsiTheme="majorBidi" w:cstheme="majorBidi"/>
          <w:sz w:val="24"/>
          <w:szCs w:val="24"/>
        </w:rPr>
        <w:t>59</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 37: Cascade d’aération</w:t>
      </w:r>
      <w:r>
        <w:rPr>
          <w:rFonts w:asciiTheme="majorBidi" w:hAnsiTheme="majorBidi" w:cstheme="majorBidi"/>
          <w:sz w:val="24"/>
          <w:szCs w:val="24"/>
        </w:rPr>
        <w:tab/>
      </w:r>
      <w:r>
        <w:rPr>
          <w:rFonts w:asciiTheme="majorBidi" w:hAnsiTheme="majorBidi" w:cstheme="majorBidi"/>
          <w:sz w:val="24"/>
          <w:szCs w:val="24"/>
        </w:rPr>
        <w:t xml:space="preserve">59                         </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 xml:space="preserve"> Fig n° 38:   Pré-chloration</w:t>
      </w:r>
      <w:r>
        <w:rPr>
          <w:rFonts w:asciiTheme="majorBidi" w:hAnsiTheme="majorBidi" w:cstheme="majorBidi"/>
          <w:sz w:val="24"/>
          <w:szCs w:val="24"/>
        </w:rPr>
        <w:tab/>
      </w:r>
      <w:r>
        <w:rPr>
          <w:rFonts w:asciiTheme="majorBidi" w:hAnsiTheme="majorBidi" w:cstheme="majorBidi"/>
          <w:sz w:val="24"/>
          <w:szCs w:val="24"/>
        </w:rPr>
        <w:t>59</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n°39: courbe d’absorption du chlore</w:t>
      </w:r>
      <w:r>
        <w:rPr>
          <w:rFonts w:asciiTheme="majorBidi" w:hAnsiTheme="majorBidi" w:cstheme="majorBidi"/>
          <w:sz w:val="24"/>
          <w:szCs w:val="24"/>
        </w:rPr>
        <w:tab/>
      </w:r>
      <w:r>
        <w:rPr>
          <w:rFonts w:asciiTheme="majorBidi" w:hAnsiTheme="majorBidi" w:cstheme="majorBidi"/>
          <w:sz w:val="24"/>
          <w:szCs w:val="24"/>
        </w:rPr>
        <w:t>60</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 40: les étapes de coagulation et floculation</w:t>
      </w:r>
      <w:r>
        <w:rPr>
          <w:rFonts w:asciiTheme="majorBidi" w:hAnsiTheme="majorBidi" w:cstheme="majorBidi"/>
          <w:sz w:val="24"/>
          <w:szCs w:val="24"/>
        </w:rPr>
        <w:tab/>
      </w:r>
      <w:r>
        <w:rPr>
          <w:rFonts w:asciiTheme="majorBidi" w:hAnsiTheme="majorBidi" w:cstheme="majorBidi"/>
          <w:sz w:val="24"/>
          <w:szCs w:val="24"/>
        </w:rPr>
        <w:t>61</w:t>
      </w:r>
    </w:p>
    <w:p>
      <w:pPr>
        <w:tabs>
          <w:tab w:val="left" w:leader="dot" w:pos="8505"/>
        </w:tabs>
        <w:spacing w:before="0" w:beforeAutospacing="0" w:after="0" w:afterAutospacing="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n°41 : bassin floculation</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62</w:t>
      </w:r>
    </w:p>
    <w:p>
      <w:pPr>
        <w:tabs>
          <w:tab w:val="left" w:leader="dot" w:pos="8505"/>
        </w:tabs>
        <w:spacing w:before="0" w:beforeAutospacing="0" w:after="0" w:afterAutospacing="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n°42: Jar-test</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62</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n°43 : décanteur</w:t>
      </w:r>
      <w:r>
        <w:rPr>
          <w:rFonts w:asciiTheme="majorBidi" w:hAnsiTheme="majorBidi" w:cstheme="majorBidi"/>
          <w:sz w:val="24"/>
          <w:szCs w:val="24"/>
        </w:rPr>
        <w:tab/>
      </w:r>
      <w:r>
        <w:rPr>
          <w:rFonts w:asciiTheme="majorBidi" w:hAnsiTheme="majorBidi" w:cstheme="majorBidi"/>
          <w:sz w:val="24"/>
          <w:szCs w:val="24"/>
        </w:rPr>
        <w:t>63</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n°44</w:t>
      </w:r>
      <w:r>
        <w:rPr>
          <w:rFonts w:asciiTheme="majorBidi" w:hAnsiTheme="majorBidi" w:cstheme="majorBidi"/>
          <w:b/>
          <w:bCs/>
          <w:sz w:val="24"/>
          <w:szCs w:val="24"/>
        </w:rPr>
        <w:t>:</w:t>
      </w:r>
      <w:r>
        <w:rPr>
          <w:rFonts w:asciiTheme="majorBidi" w:hAnsiTheme="majorBidi" w:cstheme="majorBidi"/>
          <w:sz w:val="24"/>
          <w:szCs w:val="24"/>
        </w:rPr>
        <w:t xml:space="preserve"> Décanteur à flux vertical</w:t>
      </w:r>
      <w:r>
        <w:rPr>
          <w:rFonts w:asciiTheme="majorBidi" w:hAnsiTheme="majorBidi" w:cstheme="majorBidi"/>
          <w:sz w:val="24"/>
          <w:szCs w:val="24"/>
        </w:rPr>
        <w:tab/>
      </w:r>
      <w:r>
        <w:rPr>
          <w:rFonts w:asciiTheme="majorBidi" w:hAnsiTheme="majorBidi" w:cstheme="majorBidi"/>
          <w:sz w:val="24"/>
          <w:szCs w:val="24"/>
        </w:rPr>
        <w:t>63</w:t>
      </w:r>
    </w:p>
    <w:p>
      <w:pPr>
        <w:pStyle w:val="10"/>
        <w:tabs>
          <w:tab w:val="left" w:leader="dot" w:pos="8505"/>
        </w:tabs>
        <w:spacing w:before="0" w:beforeAutospacing="0" w:after="0" w:afterAutospacing="0"/>
        <w:ind w:left="0"/>
        <w:rPr>
          <w:rFonts w:asciiTheme="majorBidi" w:hAnsiTheme="majorBidi" w:cstheme="majorBidi"/>
          <w:sz w:val="24"/>
          <w:szCs w:val="24"/>
        </w:rPr>
      </w:pPr>
      <w:r>
        <w:rPr>
          <w:rFonts w:asciiTheme="majorBidi" w:hAnsiTheme="majorBidi" w:cstheme="majorBidi"/>
          <w:sz w:val="24"/>
          <w:szCs w:val="24"/>
        </w:rPr>
        <w:t>Fig n° 45</w:t>
      </w:r>
      <w:r>
        <w:rPr>
          <w:rFonts w:asciiTheme="majorBidi" w:hAnsiTheme="majorBidi" w:cstheme="majorBidi"/>
          <w:b/>
          <w:bCs/>
          <w:sz w:val="24"/>
          <w:szCs w:val="24"/>
        </w:rPr>
        <w:t>:</w:t>
      </w:r>
      <w:r>
        <w:rPr>
          <w:rFonts w:asciiTheme="majorBidi" w:hAnsiTheme="majorBidi" w:cstheme="majorBidi"/>
          <w:sz w:val="24"/>
          <w:szCs w:val="24"/>
        </w:rPr>
        <w:t xml:space="preserve"> les filtres</w:t>
      </w:r>
      <w:r>
        <w:rPr>
          <w:rFonts w:asciiTheme="majorBidi" w:hAnsiTheme="majorBidi" w:cstheme="majorBidi"/>
          <w:sz w:val="24"/>
          <w:szCs w:val="24"/>
        </w:rPr>
        <w:tab/>
      </w:r>
      <w:r>
        <w:rPr>
          <w:rFonts w:asciiTheme="majorBidi" w:hAnsiTheme="majorBidi" w:cstheme="majorBidi"/>
          <w:sz w:val="24"/>
          <w:szCs w:val="24"/>
        </w:rPr>
        <w:t>64</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n°46 : point d’injection de chlore</w:t>
      </w:r>
      <w:r>
        <w:rPr>
          <w:rFonts w:asciiTheme="majorBidi" w:hAnsiTheme="majorBidi" w:cstheme="majorBidi"/>
          <w:sz w:val="24"/>
          <w:szCs w:val="24"/>
        </w:rPr>
        <w:tab/>
      </w:r>
      <w:r>
        <w:rPr>
          <w:rFonts w:asciiTheme="majorBidi" w:hAnsiTheme="majorBidi" w:cstheme="majorBidi"/>
          <w:sz w:val="24"/>
          <w:szCs w:val="24"/>
        </w:rPr>
        <w:t>64</w:t>
      </w:r>
    </w:p>
    <w:p>
      <w:pPr>
        <w:tabs>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n°47 : laboratoire chimique de la station</w:t>
      </w:r>
      <w:r>
        <w:rPr>
          <w:rFonts w:asciiTheme="majorBidi" w:hAnsiTheme="majorBidi" w:cstheme="majorBidi"/>
          <w:sz w:val="24"/>
          <w:szCs w:val="24"/>
        </w:rPr>
        <w:tab/>
      </w:r>
      <w:r>
        <w:rPr>
          <w:rFonts w:asciiTheme="majorBidi" w:hAnsiTheme="majorBidi" w:cstheme="majorBidi"/>
          <w:sz w:val="24"/>
          <w:szCs w:val="24"/>
        </w:rPr>
        <w:t>65</w:t>
      </w:r>
    </w:p>
    <w:p>
      <w:pPr>
        <w:tabs>
          <w:tab w:val="left" w:leader="dot" w:pos="8505"/>
        </w:tabs>
        <w:spacing w:before="0" w:beforeAutospacing="0" w:after="0" w:afterAutospacing="0"/>
        <w:jc w:val="both"/>
        <w:rPr>
          <w:rFonts w:asciiTheme="majorBidi" w:hAnsiTheme="majorBidi" w:cstheme="majorBidi"/>
          <w:sz w:val="24"/>
          <w:szCs w:val="24"/>
        </w:rPr>
      </w:pPr>
      <w:r>
        <w:rPr>
          <w:rFonts w:asciiTheme="majorBidi" w:hAnsiTheme="majorBidi" w:cstheme="majorBidi"/>
          <w:sz w:val="24"/>
          <w:szCs w:val="24"/>
        </w:rPr>
        <w:t>Fig n°48 : Diagramme de Shoeller-Berkaloff  pour les eaux brutes</w:t>
      </w:r>
      <w:r>
        <w:rPr>
          <w:rFonts w:asciiTheme="majorBidi" w:hAnsiTheme="majorBidi" w:cstheme="majorBidi"/>
          <w:sz w:val="24"/>
          <w:szCs w:val="24"/>
        </w:rPr>
        <w:tab/>
      </w:r>
      <w:r>
        <w:rPr>
          <w:rFonts w:asciiTheme="majorBidi" w:hAnsiTheme="majorBidi" w:cstheme="majorBidi"/>
          <w:sz w:val="24"/>
          <w:szCs w:val="24"/>
        </w:rPr>
        <w:t>70</w:t>
      </w:r>
    </w:p>
    <w:p>
      <w:pPr>
        <w:tabs>
          <w:tab w:val="left" w:pos="1935"/>
          <w:tab w:val="left" w:leader="dot" w:pos="8505"/>
        </w:tabs>
        <w:spacing w:before="0" w:beforeAutospacing="0" w:after="0" w:afterAutospacing="0"/>
        <w:rPr>
          <w:rFonts w:asciiTheme="majorBidi" w:hAnsiTheme="majorBidi" w:cstheme="majorBidi"/>
          <w:sz w:val="24"/>
          <w:szCs w:val="24"/>
        </w:rPr>
      </w:pPr>
      <w:r>
        <w:rPr>
          <w:rFonts w:asciiTheme="majorBidi" w:hAnsiTheme="majorBidi" w:cstheme="majorBidi"/>
          <w:sz w:val="24"/>
          <w:szCs w:val="24"/>
        </w:rPr>
        <w:t>Fig n°49</w:t>
      </w:r>
      <w:r>
        <w:rPr>
          <w:rFonts w:asciiTheme="majorBidi" w:hAnsiTheme="majorBidi" w:cstheme="majorBidi"/>
          <w:b/>
          <w:bCs/>
          <w:sz w:val="24"/>
          <w:szCs w:val="24"/>
        </w:rPr>
        <w:t> </w:t>
      </w:r>
      <w:r>
        <w:rPr>
          <w:rFonts w:asciiTheme="majorBidi" w:hAnsiTheme="majorBidi" w:cstheme="majorBidi"/>
          <w:sz w:val="24"/>
          <w:szCs w:val="24"/>
        </w:rPr>
        <w:t>: Diagramme de Shoeller-Berkaloff  pour les eaux traitées</w:t>
      </w:r>
      <w:r>
        <w:rPr>
          <w:rFonts w:asciiTheme="majorBidi" w:hAnsiTheme="majorBidi" w:cstheme="majorBidi"/>
          <w:sz w:val="24"/>
          <w:szCs w:val="24"/>
        </w:rPr>
        <w:tab/>
      </w:r>
      <w:r>
        <w:rPr>
          <w:rFonts w:asciiTheme="majorBidi" w:hAnsiTheme="majorBidi" w:cstheme="majorBidi"/>
          <w:sz w:val="24"/>
          <w:szCs w:val="24"/>
        </w:rPr>
        <w:t>74</w:t>
      </w:r>
    </w:p>
    <w:p>
      <w:pPr>
        <w:autoSpaceDE w:val="0"/>
        <w:autoSpaceDN w:val="0"/>
        <w:adjustRightInd w:val="0"/>
        <w:spacing w:before="0" w:beforeAutospacing="0" w:after="0" w:afterAutospacing="0"/>
        <w:rPr>
          <w:rFonts w:asciiTheme="majorBidi" w:hAnsiTheme="majorBidi" w:cstheme="majorBidi"/>
          <w:sz w:val="24"/>
          <w:szCs w:val="24"/>
        </w:rPr>
      </w:pPr>
    </w:p>
    <w:p>
      <w:pPr>
        <w:spacing w:before="0" w:beforeAutospacing="0" w:after="0" w:afterAutospacing="0"/>
        <w:jc w:val="center"/>
        <w:rPr>
          <w:rFonts w:asciiTheme="majorBidi" w:hAnsiTheme="majorBidi" w:cstheme="majorBidi"/>
          <w:sz w:val="24"/>
          <w:szCs w:val="24"/>
        </w:rPr>
      </w:pPr>
    </w:p>
    <w:p>
      <w:pPr>
        <w:spacing w:before="0" w:beforeAutospacing="0" w:after="0" w:afterAutospacing="0"/>
        <w:jc w:val="center"/>
        <w:rPr>
          <w:rFonts w:asciiTheme="majorBidi" w:hAnsiTheme="majorBidi" w:cstheme="majorBidi"/>
          <w:b/>
          <w:bCs/>
          <w:sz w:val="24"/>
          <w:szCs w:val="24"/>
        </w:rPr>
      </w:pPr>
    </w:p>
    <w:p>
      <w:pPr>
        <w:rPr>
          <w:rFonts w:asciiTheme="majorBidi" w:hAnsiTheme="majorBidi" w:cstheme="majorBidi"/>
          <w:sz w:val="24"/>
          <w:szCs w:val="24"/>
        </w:rPr>
      </w:pPr>
    </w:p>
    <w:p>
      <w:pPr>
        <w:tabs>
          <w:tab w:val="left" w:leader="dot" w:pos="8505"/>
        </w:tabs>
        <w:rPr>
          <w:b/>
          <w:bCs/>
          <w:sz w:val="28"/>
          <w:szCs w:val="28"/>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tabs>
          <w:tab w:val="left" w:pos="9072"/>
        </w:tabs>
        <w:jc w:val="center"/>
        <w:rPr>
          <w:b/>
          <w:bCs/>
          <w:sz w:val="28"/>
          <w:szCs w:val="28"/>
        </w:rPr>
      </w:pPr>
      <w:r>
        <w:rPr>
          <w:b/>
          <w:bCs/>
          <w:sz w:val="28"/>
          <w:szCs w:val="28"/>
        </w:rPr>
        <w:t>Liste des tables :</w:t>
      </w:r>
    </w:p>
    <w:p>
      <w:pPr>
        <w:tabs>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Tableau n°01</w:t>
      </w:r>
      <w:r>
        <w:rPr>
          <w:rFonts w:asciiTheme="majorBidi" w:hAnsiTheme="majorBidi" w:cstheme="majorBidi"/>
          <w:b/>
          <w:bCs/>
          <w:sz w:val="24"/>
          <w:szCs w:val="24"/>
        </w:rPr>
        <w:t xml:space="preserve"> : </w:t>
      </w:r>
      <w:r>
        <w:rPr>
          <w:rFonts w:asciiTheme="majorBidi" w:hAnsiTheme="majorBidi" w:cstheme="majorBidi"/>
          <w:sz w:val="24"/>
          <w:szCs w:val="24"/>
        </w:rPr>
        <w:t xml:space="preserve">Le nombre de puits et leur prélèvement du secteur d’Achacha </w:t>
      </w:r>
      <w:r>
        <w:rPr>
          <w:rFonts w:asciiTheme="majorBidi" w:hAnsiTheme="majorBidi" w:cstheme="majorBidi"/>
          <w:sz w:val="24"/>
          <w:szCs w:val="24"/>
        </w:rPr>
        <w:tab/>
      </w:r>
      <w:r>
        <w:rPr>
          <w:rFonts w:asciiTheme="majorBidi" w:hAnsiTheme="majorBidi" w:cstheme="majorBidi"/>
          <w:sz w:val="24"/>
          <w:szCs w:val="24"/>
        </w:rPr>
        <w:t>16</w:t>
      </w:r>
    </w:p>
    <w:p>
      <w:pPr>
        <w:tabs>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Tableau n°02: les classes des puits par profondeur et tranche d’eau de secteur              Acheacha</w:t>
      </w:r>
      <w:r>
        <w:rPr>
          <w:rFonts w:asciiTheme="majorBidi" w:hAnsiTheme="majorBidi" w:cstheme="majorBidi"/>
          <w:sz w:val="24"/>
          <w:szCs w:val="24"/>
        </w:rPr>
        <w:tab/>
      </w:r>
      <w:r>
        <w:rPr>
          <w:rFonts w:asciiTheme="majorBidi" w:hAnsiTheme="majorBidi" w:cstheme="majorBidi"/>
          <w:sz w:val="24"/>
          <w:szCs w:val="24"/>
        </w:rPr>
        <w:t>16</w:t>
      </w:r>
    </w:p>
    <w:p>
      <w:pPr>
        <w:tabs>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Tableau n°03 : Variations de précipitations annuelles (1989-2008)</w:t>
      </w:r>
      <w:r>
        <w:rPr>
          <w:rFonts w:asciiTheme="majorBidi" w:hAnsiTheme="majorBidi" w:cstheme="majorBidi"/>
          <w:sz w:val="24"/>
          <w:szCs w:val="24"/>
        </w:rPr>
        <w:tab/>
      </w:r>
      <w:r>
        <w:rPr>
          <w:rFonts w:asciiTheme="majorBidi" w:hAnsiTheme="majorBidi" w:cstheme="majorBidi"/>
          <w:sz w:val="24"/>
          <w:szCs w:val="24"/>
        </w:rPr>
        <w:t>19</w:t>
      </w:r>
    </w:p>
    <w:p>
      <w:pPr>
        <w:tabs>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Tableau n° 04 : Variations des précipitations mensuelles (Mostaganem 1989-2008)</w:t>
      </w:r>
      <w:r>
        <w:rPr>
          <w:rFonts w:asciiTheme="majorBidi" w:hAnsiTheme="majorBidi" w:cstheme="majorBidi"/>
          <w:sz w:val="24"/>
          <w:szCs w:val="24"/>
        </w:rPr>
        <w:tab/>
      </w:r>
      <w:r>
        <w:rPr>
          <w:rFonts w:asciiTheme="majorBidi" w:hAnsiTheme="majorBidi" w:cstheme="majorBidi"/>
          <w:sz w:val="24"/>
          <w:szCs w:val="24"/>
        </w:rPr>
        <w:t>20</w:t>
      </w:r>
    </w:p>
    <w:p>
      <w:pPr>
        <w:tabs>
          <w:tab w:val="left" w:pos="1380"/>
          <w:tab w:val="left" w:leader="dot" w:pos="8505"/>
        </w:tabs>
        <w:spacing w:line="360" w:lineRule="auto"/>
        <w:rPr>
          <w:rFonts w:asciiTheme="majorBidi" w:hAnsiTheme="majorBidi" w:cstheme="majorBidi"/>
          <w:b/>
          <w:bCs/>
          <w:sz w:val="24"/>
          <w:szCs w:val="24"/>
        </w:rPr>
      </w:pPr>
      <w:r>
        <w:rPr>
          <w:rFonts w:asciiTheme="majorBidi" w:hAnsiTheme="majorBidi" w:cstheme="majorBidi"/>
          <w:sz w:val="24"/>
          <w:szCs w:val="24"/>
        </w:rPr>
        <w:t>Tableau n° 05: Les</w:t>
      </w:r>
      <w:r>
        <w:rPr>
          <w:rFonts w:asciiTheme="majorBidi" w:hAnsiTheme="majorBidi" w:cstheme="majorBidi"/>
          <w:b/>
          <w:bCs/>
          <w:sz w:val="24"/>
          <w:szCs w:val="24"/>
        </w:rPr>
        <w:t xml:space="preserve"> </w:t>
      </w:r>
      <w:r>
        <w:rPr>
          <w:rFonts w:asciiTheme="majorBidi" w:hAnsiTheme="majorBidi" w:cstheme="majorBidi"/>
          <w:sz w:val="24"/>
          <w:szCs w:val="24"/>
        </w:rPr>
        <w:t>variations des précipitations mensuelles ( kramis 1989-2008)</w:t>
      </w:r>
      <w:r>
        <w:rPr>
          <w:rFonts w:asciiTheme="majorBidi" w:hAnsiTheme="majorBidi" w:cstheme="majorBidi"/>
          <w:sz w:val="24"/>
          <w:szCs w:val="24"/>
        </w:rPr>
        <w:tab/>
      </w:r>
      <w:r>
        <w:rPr>
          <w:rFonts w:asciiTheme="majorBidi" w:hAnsiTheme="majorBidi" w:cstheme="majorBidi"/>
          <w:sz w:val="24"/>
          <w:szCs w:val="24"/>
        </w:rPr>
        <w:t xml:space="preserve">21  </w:t>
      </w:r>
      <w:r>
        <w:rPr>
          <w:rFonts w:asciiTheme="majorBidi" w:hAnsiTheme="majorBidi" w:cstheme="majorBidi"/>
          <w:b/>
          <w:bCs/>
          <w:sz w:val="24"/>
          <w:szCs w:val="24"/>
        </w:rPr>
        <w:t xml:space="preserve">                      </w:t>
      </w:r>
    </w:p>
    <w:p>
      <w:pPr>
        <w:tabs>
          <w:tab w:val="left" w:pos="1380"/>
          <w:tab w:val="left" w:leader="dot" w:pos="8505"/>
        </w:tabs>
        <w:spacing w:line="360" w:lineRule="auto"/>
        <w:rPr>
          <w:rFonts w:asciiTheme="majorBidi" w:hAnsiTheme="majorBidi" w:cstheme="majorBidi"/>
          <w:b/>
          <w:bCs/>
          <w:sz w:val="24"/>
          <w:szCs w:val="24"/>
        </w:rPr>
      </w:pPr>
      <w:r>
        <w:rPr>
          <w:rFonts w:asciiTheme="majorBidi" w:hAnsiTheme="majorBidi" w:cstheme="majorBidi"/>
          <w:sz w:val="24"/>
          <w:szCs w:val="24"/>
        </w:rPr>
        <w:t>Tableau n°06 : variation saisonnières des pluies pour les deux stations</w:t>
      </w:r>
      <w:r>
        <w:rPr>
          <w:rFonts w:asciiTheme="majorBidi" w:hAnsiTheme="majorBidi" w:cstheme="majorBidi"/>
          <w:sz w:val="24"/>
          <w:szCs w:val="24"/>
        </w:rPr>
        <w:tab/>
      </w:r>
      <w:r>
        <w:rPr>
          <w:rFonts w:asciiTheme="majorBidi" w:hAnsiTheme="majorBidi" w:cstheme="majorBidi"/>
          <w:sz w:val="24"/>
          <w:szCs w:val="24"/>
        </w:rPr>
        <w:t>22</w:t>
      </w:r>
    </w:p>
    <w:p>
      <w:pPr>
        <w:tabs>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Tableau n°07 : Moyennes mensuelles des températures à la station de Mostaganem</w:t>
      </w:r>
      <w:r>
        <w:rPr>
          <w:rFonts w:asciiTheme="majorBidi" w:hAnsiTheme="majorBidi" w:cstheme="majorBidi"/>
          <w:sz w:val="24"/>
          <w:szCs w:val="24"/>
        </w:rPr>
        <w:tab/>
      </w:r>
      <w:r>
        <w:rPr>
          <w:rFonts w:asciiTheme="majorBidi" w:hAnsiTheme="majorBidi" w:cstheme="majorBidi"/>
          <w:sz w:val="24"/>
          <w:szCs w:val="24"/>
        </w:rPr>
        <w:t>23</w:t>
      </w:r>
    </w:p>
    <w:p>
      <w:pPr>
        <w:tabs>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Tableau n°08: Moyennes mensuelles des vitesses du vent (m/s) Mostaganem Période  (1989 - 2008)</w:t>
      </w:r>
      <w:r>
        <w:rPr>
          <w:rFonts w:asciiTheme="majorBidi" w:hAnsiTheme="majorBidi" w:cstheme="majorBidi"/>
          <w:sz w:val="24"/>
          <w:szCs w:val="24"/>
        </w:rPr>
        <w:tab/>
      </w:r>
      <w:r>
        <w:rPr>
          <w:rFonts w:asciiTheme="majorBidi" w:hAnsiTheme="majorBidi" w:cstheme="majorBidi"/>
          <w:sz w:val="24"/>
          <w:szCs w:val="24"/>
        </w:rPr>
        <w:t>24</w:t>
      </w:r>
    </w:p>
    <w:p>
      <w:pPr>
        <w:tabs>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 xml:space="preserve"> Tableau n° 09: Moyenne mensuelle d'humidité relative (%)</w:t>
      </w:r>
      <w:r>
        <w:rPr>
          <w:rFonts w:asciiTheme="majorBidi" w:hAnsiTheme="majorBidi" w:cstheme="majorBidi"/>
          <w:sz w:val="24"/>
          <w:szCs w:val="24"/>
        </w:rPr>
        <w:tab/>
      </w:r>
      <w:r>
        <w:rPr>
          <w:rFonts w:asciiTheme="majorBidi" w:hAnsiTheme="majorBidi" w:cstheme="majorBidi"/>
          <w:sz w:val="24"/>
          <w:szCs w:val="24"/>
        </w:rPr>
        <w:t>25</w:t>
      </w:r>
    </w:p>
    <w:p>
      <w:pPr>
        <w:tabs>
          <w:tab w:val="left" w:pos="1260"/>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 xml:space="preserve">Tableau n°10 : les valeurs des précipitations et les températures de station de </w:t>
      </w:r>
    </w:p>
    <w:p>
      <w:pPr>
        <w:tabs>
          <w:tab w:val="left" w:pos="1260"/>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Mostaganem</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26</w:t>
      </w:r>
    </w:p>
    <w:p>
      <w:pPr>
        <w:tabs>
          <w:tab w:val="left" w:leader="dot" w:pos="8505"/>
        </w:tabs>
        <w:spacing w:line="360" w:lineRule="auto"/>
        <w:ind w:right="-142"/>
        <w:rPr>
          <w:rFonts w:asciiTheme="majorBidi" w:hAnsiTheme="majorBidi" w:cstheme="majorBidi"/>
          <w:sz w:val="24"/>
          <w:szCs w:val="24"/>
        </w:rPr>
      </w:pPr>
      <w:r>
        <w:rPr>
          <w:rFonts w:asciiTheme="majorBidi" w:hAnsiTheme="majorBidi" w:cstheme="majorBidi"/>
          <w:sz w:val="24"/>
          <w:szCs w:val="24"/>
        </w:rPr>
        <w:t>Tableaux n°11</w:t>
      </w:r>
      <w:r>
        <w:rPr>
          <w:rFonts w:asciiTheme="majorBidi" w:hAnsiTheme="majorBidi" w:cstheme="majorBidi"/>
          <w:b/>
          <w:bCs/>
          <w:sz w:val="24"/>
          <w:szCs w:val="24"/>
        </w:rPr>
        <w:t>:</w:t>
      </w:r>
      <w:r>
        <w:rPr>
          <w:rFonts w:asciiTheme="majorBidi" w:hAnsiTheme="majorBidi" w:cstheme="majorBidi"/>
          <w:sz w:val="24"/>
          <w:szCs w:val="24"/>
        </w:rPr>
        <w:t xml:space="preserve"> les indices climatique</w:t>
      </w:r>
      <w:r>
        <w:rPr>
          <w:rFonts w:asciiTheme="majorBidi" w:hAnsiTheme="majorBidi" w:cstheme="majorBidi"/>
          <w:sz w:val="24"/>
          <w:szCs w:val="24"/>
        </w:rPr>
        <w:tab/>
      </w:r>
      <w:r>
        <w:rPr>
          <w:rFonts w:asciiTheme="majorBidi" w:hAnsiTheme="majorBidi" w:cstheme="majorBidi"/>
          <w:sz w:val="24"/>
          <w:szCs w:val="24"/>
        </w:rPr>
        <w:t>30</w:t>
      </w:r>
    </w:p>
    <w:p>
      <w:pPr>
        <w:tabs>
          <w:tab w:val="left" w:leader="dot" w:pos="8505"/>
        </w:tabs>
        <w:spacing w:line="360" w:lineRule="auto"/>
        <w:ind w:right="-142"/>
        <w:rPr>
          <w:rFonts w:asciiTheme="majorBidi" w:hAnsiTheme="majorBidi" w:cstheme="majorBidi"/>
          <w:sz w:val="24"/>
          <w:szCs w:val="24"/>
        </w:rPr>
      </w:pPr>
      <w:r>
        <w:rPr>
          <w:rFonts w:asciiTheme="majorBidi" w:hAnsiTheme="majorBidi" w:cstheme="majorBidi"/>
          <w:b/>
          <w:bCs/>
          <w:sz w:val="24"/>
          <w:szCs w:val="24"/>
        </w:rPr>
        <w:t xml:space="preserve"> </w:t>
      </w:r>
      <w:r>
        <w:rPr>
          <w:rFonts w:asciiTheme="majorBidi" w:hAnsiTheme="majorBidi" w:cstheme="majorBidi"/>
          <w:sz w:val="24"/>
          <w:szCs w:val="24"/>
        </w:rPr>
        <w:t>Tableaux n°12</w:t>
      </w:r>
      <w:r>
        <w:rPr>
          <w:rFonts w:asciiTheme="majorBidi" w:hAnsiTheme="majorBidi" w:cstheme="majorBidi"/>
          <w:b/>
          <w:bCs/>
          <w:sz w:val="24"/>
          <w:szCs w:val="24"/>
        </w:rPr>
        <w:t xml:space="preserve"> : </w:t>
      </w:r>
      <w:r>
        <w:rPr>
          <w:rFonts w:asciiTheme="majorBidi" w:hAnsiTheme="majorBidi" w:cstheme="majorBidi"/>
          <w:sz w:val="24"/>
          <w:szCs w:val="24"/>
        </w:rPr>
        <w:t xml:space="preserve">calcule de l’évapotranspiration potentielle de la station de </w:t>
      </w:r>
    </w:p>
    <w:p>
      <w:pPr>
        <w:tabs>
          <w:tab w:val="left" w:leader="dot" w:pos="8505"/>
        </w:tabs>
        <w:spacing w:line="360" w:lineRule="auto"/>
        <w:ind w:right="-142"/>
        <w:rPr>
          <w:rFonts w:asciiTheme="majorBidi" w:hAnsiTheme="majorBidi" w:cstheme="majorBidi"/>
          <w:b/>
          <w:bCs/>
          <w:sz w:val="24"/>
          <w:szCs w:val="24"/>
        </w:rPr>
      </w:pPr>
      <w:r>
        <w:rPr>
          <w:rFonts w:asciiTheme="majorBidi" w:hAnsiTheme="majorBidi" w:cstheme="majorBidi"/>
          <w:sz w:val="24"/>
          <w:szCs w:val="24"/>
        </w:rPr>
        <w:t xml:space="preserve">Mostaganem </w:t>
      </w:r>
      <w:r>
        <w:rPr>
          <w:rFonts w:asciiTheme="majorBidi" w:hAnsiTheme="majorBidi" w:cstheme="majorBidi"/>
          <w:sz w:val="24"/>
          <w:szCs w:val="24"/>
        </w:rPr>
        <w:tab/>
      </w:r>
      <w:r>
        <w:rPr>
          <w:rFonts w:asciiTheme="majorBidi" w:hAnsiTheme="majorBidi" w:cstheme="majorBidi"/>
          <w:sz w:val="24"/>
          <w:szCs w:val="24"/>
        </w:rPr>
        <w:t>31</w:t>
      </w:r>
    </w:p>
    <w:p>
      <w:pPr>
        <w:tabs>
          <w:tab w:val="left" w:leader="dot" w:pos="8505"/>
        </w:tabs>
        <w:spacing w:line="360" w:lineRule="auto"/>
        <w:ind w:right="-142"/>
        <w:rPr>
          <w:rFonts w:asciiTheme="majorBidi" w:hAnsiTheme="majorBidi" w:cstheme="majorBidi"/>
          <w:sz w:val="24"/>
          <w:szCs w:val="24"/>
        </w:rPr>
      </w:pPr>
      <w:r>
        <w:rPr>
          <w:rFonts w:asciiTheme="majorBidi" w:hAnsiTheme="majorBidi" w:cstheme="majorBidi"/>
          <w:sz w:val="24"/>
          <w:szCs w:val="24"/>
        </w:rPr>
        <w:t>Tableaux n°13 : Calcul de  l’ETR par différent méthodes</w:t>
      </w:r>
      <w:r>
        <w:rPr>
          <w:rFonts w:asciiTheme="majorBidi" w:hAnsiTheme="majorBidi" w:cstheme="majorBidi"/>
          <w:sz w:val="24"/>
          <w:szCs w:val="24"/>
        </w:rPr>
        <w:tab/>
      </w:r>
      <w:r>
        <w:rPr>
          <w:rFonts w:asciiTheme="majorBidi" w:hAnsiTheme="majorBidi" w:cstheme="majorBidi"/>
          <w:sz w:val="24"/>
          <w:szCs w:val="24"/>
        </w:rPr>
        <w:t>35</w:t>
      </w:r>
    </w:p>
    <w:p>
      <w:pPr>
        <w:tabs>
          <w:tab w:val="left" w:leader="dot" w:pos="8505"/>
        </w:tabs>
        <w:spacing w:line="360" w:lineRule="auto"/>
        <w:ind w:right="-142"/>
        <w:rPr>
          <w:rFonts w:asciiTheme="majorBidi" w:hAnsiTheme="majorBidi" w:cstheme="majorBidi"/>
          <w:sz w:val="24"/>
          <w:szCs w:val="24"/>
        </w:rPr>
      </w:pPr>
      <w:r>
        <w:rPr>
          <w:rFonts w:asciiTheme="majorBidi" w:hAnsiTheme="majorBidi" w:cstheme="majorBidi"/>
          <w:sz w:val="24"/>
          <w:szCs w:val="24"/>
        </w:rPr>
        <w:t>Tableau n°14 : Tableau récapitulatif du bilan hydrologique de Thornthwaite</w:t>
      </w:r>
      <w:r>
        <w:rPr>
          <w:rFonts w:asciiTheme="majorBidi" w:hAnsiTheme="majorBidi" w:cstheme="majorBidi"/>
          <w:sz w:val="24"/>
          <w:szCs w:val="24"/>
        </w:rPr>
        <w:tab/>
      </w:r>
      <w:r>
        <w:rPr>
          <w:rFonts w:asciiTheme="majorBidi" w:hAnsiTheme="majorBidi" w:cstheme="majorBidi"/>
          <w:sz w:val="24"/>
          <w:szCs w:val="24"/>
        </w:rPr>
        <w:t>36</w:t>
      </w:r>
    </w:p>
    <w:p>
      <w:pPr>
        <w:tabs>
          <w:tab w:val="left" w:leader="dot" w:pos="8505"/>
        </w:tabs>
        <w:spacing w:line="360" w:lineRule="auto"/>
        <w:ind w:right="-142"/>
        <w:rPr>
          <w:rFonts w:asciiTheme="majorBidi" w:hAnsiTheme="majorBidi" w:cstheme="majorBidi"/>
          <w:sz w:val="24"/>
          <w:szCs w:val="24"/>
        </w:rPr>
      </w:pPr>
      <w:r>
        <w:rPr>
          <w:rFonts w:asciiTheme="majorBidi" w:hAnsiTheme="majorBidi" w:cstheme="majorBidi"/>
          <w:sz w:val="24"/>
          <w:szCs w:val="24"/>
        </w:rPr>
        <w:t>Tableaux n°15: Estimation des valeurs de l’infiltration par différentes méthodes</w:t>
      </w:r>
      <w:r>
        <w:rPr>
          <w:rFonts w:asciiTheme="majorBidi" w:hAnsiTheme="majorBidi" w:cstheme="majorBidi"/>
          <w:sz w:val="24"/>
          <w:szCs w:val="24"/>
        </w:rPr>
        <w:tab/>
      </w:r>
      <w:r>
        <w:rPr>
          <w:rFonts w:asciiTheme="majorBidi" w:hAnsiTheme="majorBidi" w:cstheme="majorBidi"/>
          <w:sz w:val="24"/>
          <w:szCs w:val="24"/>
        </w:rPr>
        <w:t>37</w:t>
      </w:r>
    </w:p>
    <w:p>
      <w:pPr>
        <w:tabs>
          <w:tab w:val="left" w:leader="dot" w:pos="8505"/>
        </w:tabs>
        <w:spacing w:line="360" w:lineRule="auto"/>
        <w:rPr>
          <w:rFonts w:asciiTheme="majorBidi" w:hAnsiTheme="majorBidi" w:cstheme="majorBidi"/>
          <w:sz w:val="24"/>
          <w:szCs w:val="24"/>
          <w:lang w:bidi="ar-DZ"/>
        </w:rPr>
      </w:pPr>
      <w:r>
        <w:rPr>
          <w:rFonts w:asciiTheme="majorBidi" w:hAnsiTheme="majorBidi" w:cstheme="majorBidi"/>
          <w:sz w:val="24"/>
          <w:szCs w:val="24"/>
          <w:lang w:bidi="ar-DZ"/>
        </w:rPr>
        <w:t>Tableau n°16 : Répartition hypsométrique du bassin versant</w:t>
      </w:r>
      <w:r>
        <w:rPr>
          <w:rFonts w:asciiTheme="majorBidi" w:hAnsiTheme="majorBidi" w:cstheme="majorBidi"/>
          <w:sz w:val="24"/>
          <w:szCs w:val="24"/>
          <w:lang w:bidi="ar-DZ"/>
        </w:rPr>
        <w:tab/>
      </w:r>
      <w:r>
        <w:rPr>
          <w:rFonts w:asciiTheme="majorBidi" w:hAnsiTheme="majorBidi" w:cstheme="majorBidi"/>
          <w:sz w:val="24"/>
          <w:szCs w:val="24"/>
          <w:lang w:bidi="ar-DZ"/>
        </w:rPr>
        <w:t>41</w:t>
      </w:r>
    </w:p>
    <w:p>
      <w:pPr>
        <w:tabs>
          <w:tab w:val="left" w:leader="dot" w:pos="8505"/>
        </w:tabs>
        <w:spacing w:line="360" w:lineRule="auto"/>
        <w:rPr>
          <w:rFonts w:asciiTheme="majorBidi" w:hAnsiTheme="majorBidi" w:cstheme="majorBidi"/>
          <w:sz w:val="24"/>
          <w:szCs w:val="24"/>
        </w:rPr>
      </w:pPr>
      <w:r>
        <w:rPr>
          <w:rFonts w:asciiTheme="majorBidi" w:hAnsiTheme="majorBidi" w:cstheme="majorBidi"/>
          <w:sz w:val="24"/>
          <w:szCs w:val="24"/>
        </w:rPr>
        <w:t>Tableau n°17</w:t>
      </w:r>
      <w:r>
        <w:rPr>
          <w:rFonts w:asciiTheme="majorBidi" w:hAnsiTheme="majorBidi" w:cstheme="majorBidi"/>
          <w:b/>
          <w:bCs/>
          <w:sz w:val="24"/>
          <w:szCs w:val="24"/>
        </w:rPr>
        <w:t xml:space="preserve"> : </w:t>
      </w:r>
      <w:r>
        <w:rPr>
          <w:rFonts w:asciiTheme="majorBidi" w:hAnsiTheme="majorBidi" w:cstheme="majorBidi"/>
          <w:sz w:val="24"/>
          <w:szCs w:val="24"/>
        </w:rPr>
        <w:t>Classification des Oueds suivant les ordres et rapports caractéristiques</w:t>
      </w:r>
      <w:r>
        <w:rPr>
          <w:rFonts w:asciiTheme="majorBidi" w:hAnsiTheme="majorBidi" w:cstheme="majorBidi"/>
          <w:sz w:val="24"/>
          <w:szCs w:val="24"/>
        </w:rPr>
        <w:tab/>
      </w:r>
      <w:r>
        <w:rPr>
          <w:rFonts w:asciiTheme="majorBidi" w:hAnsiTheme="majorBidi" w:cstheme="majorBidi"/>
          <w:sz w:val="24"/>
          <w:szCs w:val="24"/>
        </w:rPr>
        <w:t>43</w:t>
      </w:r>
    </w:p>
    <w:p>
      <w:pPr>
        <w:tabs>
          <w:tab w:val="left" w:leader="dot" w:pos="8505"/>
        </w:tabs>
        <w:spacing w:line="360" w:lineRule="auto"/>
        <w:rPr>
          <w:rFonts w:asciiTheme="majorBidi" w:hAnsiTheme="majorBidi" w:cstheme="majorBidi"/>
          <w:b/>
          <w:bCs/>
          <w:sz w:val="24"/>
          <w:szCs w:val="24"/>
        </w:rPr>
      </w:pPr>
      <w:r>
        <w:rPr>
          <w:rFonts w:asciiTheme="majorBidi" w:hAnsiTheme="majorBidi" w:cstheme="majorBidi"/>
          <w:sz w:val="24"/>
          <w:szCs w:val="24"/>
        </w:rPr>
        <w:t xml:space="preserve">Tableau n°18 </w:t>
      </w:r>
      <w:r>
        <w:rPr>
          <w:rFonts w:asciiTheme="majorBidi" w:hAnsiTheme="majorBidi" w:cstheme="majorBidi"/>
          <w:b/>
          <w:bCs/>
          <w:sz w:val="24"/>
          <w:szCs w:val="24"/>
        </w:rPr>
        <w:t xml:space="preserve">: </w:t>
      </w:r>
      <w:r>
        <w:rPr>
          <w:rFonts w:asciiTheme="majorBidi" w:hAnsiTheme="majorBidi" w:cstheme="majorBidi"/>
          <w:sz w:val="24"/>
          <w:szCs w:val="24"/>
        </w:rPr>
        <w:t>Rapport de confluence des talwegs</w:t>
      </w:r>
      <w:r>
        <w:rPr>
          <w:rFonts w:asciiTheme="majorBidi" w:hAnsiTheme="majorBidi" w:cstheme="majorBidi"/>
          <w:sz w:val="24"/>
          <w:szCs w:val="24"/>
        </w:rPr>
        <w:tab/>
      </w:r>
      <w:r>
        <w:rPr>
          <w:rFonts w:asciiTheme="majorBidi" w:hAnsiTheme="majorBidi" w:cstheme="majorBidi"/>
          <w:sz w:val="24"/>
          <w:szCs w:val="24"/>
        </w:rPr>
        <w:t>45</w:t>
      </w:r>
      <w:r>
        <w:rPr>
          <w:rFonts w:asciiTheme="majorBidi" w:hAnsiTheme="majorBidi" w:cstheme="majorBidi"/>
          <w:b/>
          <w:bCs/>
          <w:sz w:val="24"/>
          <w:szCs w:val="24"/>
        </w:rPr>
        <w:t xml:space="preserve">                                                     </w:t>
      </w:r>
    </w:p>
    <w:p>
      <w:pPr>
        <w:tabs>
          <w:tab w:val="left" w:leader="dot" w:pos="8505"/>
        </w:tabs>
        <w:spacing w:line="360" w:lineRule="auto"/>
        <w:rPr>
          <w:rFonts w:asciiTheme="majorBidi" w:hAnsiTheme="majorBidi" w:cstheme="majorBidi"/>
          <w:b/>
          <w:bCs/>
          <w:sz w:val="24"/>
          <w:szCs w:val="24"/>
        </w:rPr>
      </w:pPr>
      <w:r>
        <w:rPr>
          <w:rFonts w:asciiTheme="majorBidi" w:hAnsiTheme="majorBidi" w:cstheme="majorBidi"/>
          <w:color w:val="000000" w:themeColor="text1"/>
          <w:sz w:val="24"/>
          <w:szCs w:val="24"/>
        </w:rPr>
        <w:t>Tableau n°19</w:t>
      </w:r>
      <w:r>
        <w:rPr>
          <w:rFonts w:asciiTheme="majorBidi" w:hAnsiTheme="majorBidi" w:cstheme="majorBidi"/>
          <w:b/>
          <w:bCs/>
          <w:color w:val="000000" w:themeColor="text1"/>
          <w:sz w:val="24"/>
          <w:szCs w:val="24"/>
        </w:rPr>
        <w:t xml:space="preserve"> : </w:t>
      </w:r>
      <w:r>
        <w:rPr>
          <w:rFonts w:asciiTheme="majorBidi" w:hAnsiTheme="majorBidi" w:cstheme="majorBidi"/>
          <w:color w:val="000000" w:themeColor="text1"/>
          <w:sz w:val="24"/>
          <w:szCs w:val="24"/>
        </w:rPr>
        <w:t>Quelque-unes des contaminations des eaux potables possibles et leurs conséquences</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50</w:t>
      </w:r>
    </w:p>
    <w:p>
      <w:pPr>
        <w:tabs>
          <w:tab w:val="left" w:leader="dot" w:pos="8505"/>
          <w:tab w:val="left" w:leader="dot" w:pos="9072"/>
        </w:tabs>
        <w:spacing w:line="360" w:lineRule="auto"/>
        <w:rPr>
          <w:rFonts w:ascii="Times New Roman" w:hAnsi="Times New Roman" w:eastAsia="Times New Roman" w:cs="Times New Roman"/>
          <w:sz w:val="24"/>
          <w:szCs w:val="24"/>
        </w:rPr>
      </w:pPr>
      <w:r>
        <w:rPr>
          <w:rFonts w:eastAsia="Times New Roman" w:asciiTheme="majorBidi" w:hAnsiTheme="majorBidi" w:cstheme="majorBidi"/>
          <w:color w:val="000000"/>
          <w:kern w:val="36"/>
          <w:sz w:val="24"/>
          <w:szCs w:val="24"/>
        </w:rPr>
        <w:t>Tableau n°20</w:t>
      </w:r>
      <w:r>
        <w:rPr>
          <w:rFonts w:eastAsia="Times New Roman" w:asciiTheme="majorBidi" w:hAnsiTheme="majorBidi" w:cstheme="majorBidi"/>
          <w:b/>
          <w:bCs/>
          <w:color w:val="000000"/>
          <w:kern w:val="36"/>
          <w:sz w:val="24"/>
          <w:szCs w:val="24"/>
        </w:rPr>
        <w:t xml:space="preserve"> : </w:t>
      </w:r>
      <w:r>
        <w:rPr>
          <w:rFonts w:eastAsia="Times New Roman" w:asciiTheme="majorBidi" w:hAnsiTheme="majorBidi" w:cstheme="majorBidi"/>
          <w:color w:val="000000"/>
          <w:kern w:val="36"/>
          <w:sz w:val="24"/>
          <w:szCs w:val="24"/>
        </w:rPr>
        <w:t>Normes  de potabilité des eaux de consommations</w:t>
      </w:r>
      <w:r>
        <w:rPr>
          <w:rFonts w:eastAsia="Times New Roman" w:asciiTheme="majorBidi" w:hAnsiTheme="majorBidi" w:cstheme="majorBidi"/>
          <w:color w:val="000000"/>
          <w:kern w:val="36"/>
          <w:sz w:val="24"/>
          <w:szCs w:val="24"/>
        </w:rPr>
        <w:tab/>
      </w:r>
      <w:r>
        <w:rPr>
          <w:rFonts w:eastAsia="Times New Roman" w:asciiTheme="majorBidi" w:hAnsiTheme="majorBidi" w:cstheme="majorBidi"/>
          <w:color w:val="000000"/>
          <w:kern w:val="36"/>
          <w:sz w:val="24"/>
          <w:szCs w:val="24"/>
        </w:rPr>
        <w:t>52</w:t>
      </w:r>
    </w:p>
    <w:p>
      <w:pPr>
        <w:tabs>
          <w:tab w:val="left" w:leader="dot" w:pos="8505"/>
        </w:tabs>
        <w:spacing w:line="360" w:lineRule="auto"/>
        <w:rPr>
          <w:rFonts w:eastAsia="Times New Roman" w:asciiTheme="majorBidi" w:hAnsiTheme="majorBidi" w:cstheme="majorBidi"/>
          <w:color w:val="000000"/>
          <w:kern w:val="36"/>
          <w:sz w:val="24"/>
          <w:szCs w:val="24"/>
        </w:rPr>
      </w:pPr>
      <w:r>
        <w:rPr>
          <w:rFonts w:ascii="Times New Roman" w:hAnsi="Times New Roman" w:eastAsia="Times New Roman" w:cs="Times New Roman"/>
          <w:sz w:val="24"/>
          <w:szCs w:val="24"/>
        </w:rPr>
        <w:t>Tableau n°21</w:t>
      </w:r>
      <w:r>
        <w:rPr>
          <w:rFonts w:ascii="Times New Roman" w:hAnsi="Times New Roman" w:eastAsia="Times New Roman" w:cs="Times New Roman"/>
          <w:b/>
          <w:bCs/>
          <w:sz w:val="24"/>
          <w:szCs w:val="24"/>
        </w:rPr>
        <w:t> </w:t>
      </w:r>
      <w:r>
        <w:rPr>
          <w:rFonts w:ascii="Times New Roman" w:hAnsi="Times New Roman" w:eastAsia="Times New Roman" w:cs="Times New Roman"/>
          <w:sz w:val="24"/>
          <w:szCs w:val="24"/>
        </w:rPr>
        <w:t xml:space="preserve">: Analyses des paramétres physiques et chimiques de l’eau brute </w:t>
      </w:r>
      <w:r>
        <w:rPr>
          <w:rFonts w:ascii="Times New Roman" w:hAnsi="Times New Roman" w:eastAsia="Times New Roman" w:cs="Times New Roman"/>
          <w:sz w:val="24"/>
          <w:szCs w:val="24"/>
        </w:rPr>
        <w:tab/>
      </w:r>
      <w:r>
        <w:rPr>
          <w:rFonts w:ascii="Times New Roman" w:hAnsi="Times New Roman" w:eastAsia="Times New Roman" w:cs="Times New Roman"/>
          <w:sz w:val="24"/>
          <w:szCs w:val="24"/>
        </w:rPr>
        <w:t>66</w:t>
      </w:r>
    </w:p>
    <w:p>
      <w:pPr>
        <w:tabs>
          <w:tab w:val="left" w:pos="1935"/>
          <w:tab w:val="left" w:leader="dot" w:pos="8505"/>
          <w:tab w:val="left" w:leader="dot" w:pos="9072"/>
        </w:tabs>
        <w:spacing w:line="360" w:lineRule="auto"/>
        <w:rPr>
          <w:rFonts w:asciiTheme="majorBidi" w:hAnsiTheme="majorBidi" w:cstheme="majorBidi"/>
          <w:sz w:val="24"/>
          <w:szCs w:val="24"/>
        </w:rPr>
      </w:pPr>
      <w:r>
        <w:rPr>
          <w:rFonts w:asciiTheme="majorBidi" w:hAnsiTheme="majorBidi" w:cstheme="majorBidi"/>
          <w:sz w:val="24"/>
          <w:szCs w:val="24"/>
        </w:rPr>
        <w:t>Tableaux n°22</w:t>
      </w:r>
      <w:r>
        <w:rPr>
          <w:rFonts w:asciiTheme="majorBidi" w:hAnsiTheme="majorBidi" w:cstheme="majorBidi"/>
          <w:b/>
          <w:bCs/>
          <w:sz w:val="24"/>
          <w:szCs w:val="24"/>
        </w:rPr>
        <w:t> </w:t>
      </w:r>
      <w:r>
        <w:rPr>
          <w:rFonts w:asciiTheme="majorBidi" w:hAnsiTheme="majorBidi" w:cstheme="majorBidi"/>
          <w:sz w:val="24"/>
          <w:szCs w:val="24"/>
        </w:rPr>
        <w:t>: Qualité de l’eau en fonction de TH</w:t>
      </w:r>
      <w:r>
        <w:rPr>
          <w:rFonts w:asciiTheme="majorBidi" w:hAnsiTheme="majorBidi" w:cstheme="majorBidi"/>
          <w:sz w:val="24"/>
          <w:szCs w:val="24"/>
        </w:rPr>
        <w:tab/>
      </w:r>
      <w:r>
        <w:rPr>
          <w:rFonts w:asciiTheme="majorBidi" w:hAnsiTheme="majorBidi" w:cstheme="majorBidi"/>
          <w:sz w:val="24"/>
          <w:szCs w:val="24"/>
        </w:rPr>
        <w:t xml:space="preserve">67 </w:t>
      </w:r>
    </w:p>
    <w:p>
      <w:pPr>
        <w:tabs>
          <w:tab w:val="left" w:pos="1935"/>
          <w:tab w:val="left" w:leader="dot" w:pos="8505"/>
          <w:tab w:val="left" w:leader="dot" w:pos="9072"/>
        </w:tabs>
        <w:spacing w:line="360" w:lineRule="auto"/>
        <w:rPr>
          <w:rFonts w:asciiTheme="majorBidi" w:hAnsiTheme="majorBidi" w:cstheme="majorBidi"/>
          <w:sz w:val="24"/>
          <w:szCs w:val="24"/>
        </w:rPr>
      </w:pPr>
      <w:r>
        <w:rPr>
          <w:rFonts w:asciiTheme="majorBidi" w:hAnsiTheme="majorBidi" w:cstheme="majorBidi"/>
          <w:sz w:val="24"/>
          <w:szCs w:val="24"/>
        </w:rPr>
        <w:t>Tableaux n°23</w:t>
      </w:r>
      <w:r>
        <w:rPr>
          <w:rFonts w:asciiTheme="majorBidi" w:hAnsiTheme="majorBidi" w:cstheme="majorBidi"/>
          <w:b/>
          <w:bCs/>
          <w:sz w:val="24"/>
          <w:szCs w:val="24"/>
        </w:rPr>
        <w:t> :</w:t>
      </w:r>
      <w:r>
        <w:rPr>
          <w:rFonts w:asciiTheme="majorBidi" w:hAnsiTheme="majorBidi" w:cstheme="majorBidi"/>
          <w:sz w:val="24"/>
          <w:szCs w:val="24"/>
        </w:rPr>
        <w:t xml:space="preserve"> Table de calcul de la minéralisation à partir de la conductivité </w:t>
      </w:r>
      <w:r>
        <w:rPr>
          <w:rFonts w:asciiTheme="majorBidi" w:hAnsiTheme="majorBidi" w:cstheme="majorBidi"/>
          <w:sz w:val="24"/>
          <w:szCs w:val="24"/>
        </w:rPr>
        <w:tab/>
      </w:r>
      <w:r>
        <w:rPr>
          <w:rFonts w:asciiTheme="majorBidi" w:hAnsiTheme="majorBidi" w:cstheme="majorBidi"/>
          <w:sz w:val="24"/>
          <w:szCs w:val="24"/>
        </w:rPr>
        <w:t>68</w:t>
      </w:r>
    </w:p>
    <w:p>
      <w:pPr>
        <w:tabs>
          <w:tab w:val="left" w:pos="1935"/>
          <w:tab w:val="left" w:leader="dot" w:pos="8505"/>
          <w:tab w:val="left" w:leader="dot" w:pos="9072"/>
        </w:tabs>
        <w:spacing w:line="360" w:lineRule="auto"/>
        <w:rPr>
          <w:rFonts w:asciiTheme="majorBidi" w:hAnsiTheme="majorBidi" w:cstheme="majorBidi"/>
          <w:sz w:val="24"/>
          <w:szCs w:val="24"/>
        </w:rPr>
      </w:pPr>
      <w:r>
        <w:rPr>
          <w:rFonts w:asciiTheme="majorBidi" w:hAnsiTheme="majorBidi" w:cstheme="majorBidi"/>
          <w:sz w:val="24"/>
          <w:szCs w:val="24"/>
        </w:rPr>
        <w:t xml:space="preserve"> Tableaux n°24</w:t>
      </w:r>
      <w:r>
        <w:rPr>
          <w:rFonts w:asciiTheme="majorBidi" w:hAnsiTheme="majorBidi" w:cstheme="majorBidi"/>
          <w:b/>
          <w:bCs/>
          <w:sz w:val="24"/>
          <w:szCs w:val="24"/>
        </w:rPr>
        <w:t xml:space="preserve"> : </w:t>
      </w:r>
      <w:r>
        <w:rPr>
          <w:rFonts w:asciiTheme="majorBidi" w:hAnsiTheme="majorBidi" w:cstheme="majorBidi"/>
          <w:sz w:val="24"/>
          <w:szCs w:val="24"/>
        </w:rPr>
        <w:t>potabilité chimique des eaux brute</w:t>
      </w:r>
      <w:r>
        <w:rPr>
          <w:rFonts w:asciiTheme="majorBidi" w:hAnsiTheme="majorBidi" w:cstheme="majorBidi"/>
          <w:sz w:val="24"/>
          <w:szCs w:val="24"/>
        </w:rPr>
        <w:tab/>
      </w:r>
      <w:r>
        <w:rPr>
          <w:rFonts w:asciiTheme="majorBidi" w:hAnsiTheme="majorBidi" w:cstheme="majorBidi"/>
          <w:sz w:val="24"/>
          <w:szCs w:val="24"/>
        </w:rPr>
        <w:t>71</w:t>
      </w:r>
    </w:p>
    <w:p>
      <w:pPr>
        <w:tabs>
          <w:tab w:val="left" w:pos="1935"/>
          <w:tab w:val="left" w:leader="dot" w:pos="8505"/>
          <w:tab w:val="left" w:leader="dot" w:pos="9072"/>
        </w:tabs>
        <w:spacing w:line="360" w:lineRule="auto"/>
        <w:rPr>
          <w:rFonts w:asciiTheme="majorBidi" w:hAnsiTheme="majorBidi" w:cstheme="majorBidi"/>
          <w:sz w:val="24"/>
          <w:szCs w:val="24"/>
        </w:rPr>
      </w:pPr>
      <w:r>
        <w:rPr>
          <w:rFonts w:asciiTheme="majorBidi" w:hAnsiTheme="majorBidi" w:cstheme="majorBidi"/>
          <w:sz w:val="24"/>
          <w:szCs w:val="24"/>
        </w:rPr>
        <w:t>Tableaux n°25 : Analyses des paramètres physico-chimiques de l’eau traitée</w:t>
      </w:r>
      <w:r>
        <w:rPr>
          <w:rFonts w:asciiTheme="majorBidi" w:hAnsiTheme="majorBidi" w:cstheme="majorBidi"/>
          <w:sz w:val="24"/>
          <w:szCs w:val="24"/>
        </w:rPr>
        <w:tab/>
      </w:r>
      <w:r>
        <w:rPr>
          <w:rFonts w:asciiTheme="majorBidi" w:hAnsiTheme="majorBidi" w:cstheme="majorBidi"/>
          <w:sz w:val="24"/>
          <w:szCs w:val="24"/>
        </w:rPr>
        <w:t>72</w:t>
      </w:r>
    </w:p>
    <w:p>
      <w:pPr>
        <w:tabs>
          <w:tab w:val="left" w:pos="1935"/>
          <w:tab w:val="left" w:leader="dot" w:pos="8505"/>
          <w:tab w:val="left" w:leader="dot" w:pos="9072"/>
        </w:tabs>
        <w:spacing w:line="360" w:lineRule="auto"/>
        <w:rPr>
          <w:rFonts w:asciiTheme="majorBidi" w:hAnsiTheme="majorBidi" w:cstheme="majorBidi"/>
          <w:sz w:val="24"/>
          <w:szCs w:val="24"/>
        </w:rPr>
      </w:pPr>
      <w:r>
        <w:rPr>
          <w:rFonts w:asciiTheme="majorBidi" w:hAnsiTheme="majorBidi" w:cstheme="majorBidi"/>
          <w:sz w:val="24"/>
          <w:szCs w:val="24"/>
        </w:rPr>
        <w:t>Tableaux n°24</w:t>
      </w:r>
      <w:r>
        <w:rPr>
          <w:rFonts w:asciiTheme="majorBidi" w:hAnsiTheme="majorBidi" w:cstheme="majorBidi"/>
          <w:b/>
          <w:bCs/>
          <w:sz w:val="24"/>
          <w:szCs w:val="24"/>
        </w:rPr>
        <w:t xml:space="preserve"> : </w:t>
      </w:r>
      <w:r>
        <w:rPr>
          <w:rFonts w:asciiTheme="majorBidi" w:hAnsiTheme="majorBidi" w:cstheme="majorBidi"/>
          <w:sz w:val="24"/>
          <w:szCs w:val="24"/>
        </w:rPr>
        <w:t>potabilité chimique des eaux traitées</w:t>
      </w:r>
      <w:r>
        <w:rPr>
          <w:rFonts w:asciiTheme="majorBidi" w:hAnsiTheme="majorBidi" w:cstheme="majorBidi"/>
          <w:sz w:val="24"/>
          <w:szCs w:val="24"/>
        </w:rPr>
        <w:tab/>
      </w:r>
      <w:r>
        <w:rPr>
          <w:rFonts w:asciiTheme="majorBidi" w:hAnsiTheme="majorBidi" w:cstheme="majorBidi"/>
          <w:sz w:val="24"/>
          <w:szCs w:val="24"/>
        </w:rPr>
        <w:t>75</w:t>
      </w: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ind w:left="0" w:firstLine="0"/>
        <w:jc w:val="center"/>
        <w:rPr>
          <w:rFonts w:asciiTheme="majorBidi" w:hAnsiTheme="majorBidi" w:cstheme="majorBidi"/>
          <w:b/>
          <w:bCs/>
          <w:sz w:val="24"/>
          <w:szCs w:val="24"/>
        </w:rPr>
      </w:pPr>
      <w:r>
        <w:rPr>
          <w:rFonts w:asciiTheme="majorBidi" w:hAnsiTheme="majorBidi" w:cstheme="majorBidi"/>
          <w:b/>
          <w:bCs/>
          <w:sz w:val="24"/>
          <w:szCs w:val="24"/>
        </w:rPr>
        <w:t>Acronymes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AEP : alimentation en eau potable</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ANRH : agence nationale des ressources hydrauliques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Cm : centimètre</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CMA : concentration maximale admissible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Da : déficit d’écoulement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DBO5 : demande biologique en oxygène au bout de 5 jours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DCO : demande chimique en oxygène</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E : Est</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Ec : les écoulements</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ETP : évapotranspiration potentiel (mm)</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ETR : évapotranspiration réelle  (mm)</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EX : l’excédent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Fig : figure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g : gramme</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g/l : gramme par litre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HR : l’humidité</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K</w:t>
      </w:r>
      <w:r>
        <w:rPr>
          <w:rFonts w:asciiTheme="majorBidi" w:hAnsiTheme="majorBidi" w:cstheme="majorBidi"/>
          <w:sz w:val="24"/>
          <w:szCs w:val="24"/>
          <w:vertAlign w:val="subscript"/>
        </w:rPr>
        <w:t>G</w:t>
      </w:r>
      <w:r>
        <w:rPr>
          <w:rFonts w:asciiTheme="majorBidi" w:hAnsiTheme="majorBidi" w:cstheme="majorBidi"/>
          <w:sz w:val="24"/>
          <w:szCs w:val="24"/>
        </w:rPr>
        <w:t xml:space="preserve"> : coefficient de compacité de gravilus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m : mètre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m</w:t>
      </w:r>
      <w:r>
        <w:rPr>
          <w:rFonts w:asciiTheme="majorBidi" w:hAnsiTheme="majorBidi" w:cstheme="majorBidi"/>
          <w:sz w:val="24"/>
          <w:szCs w:val="24"/>
          <w:vertAlign w:val="superscript"/>
        </w:rPr>
        <w:t>3 </w:t>
      </w:r>
      <w:r>
        <w:rPr>
          <w:rFonts w:asciiTheme="majorBidi" w:hAnsiTheme="majorBidi" w:cstheme="majorBidi"/>
          <w:sz w:val="24"/>
          <w:szCs w:val="24"/>
        </w:rPr>
        <w:t xml:space="preserve">: mètre cube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MES : matière en suspensions</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mg /l : milligramme par litre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N : nord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NTU : unité turbidité Néphélémétrique</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OMS : organisation mondiale de la santé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P : précipitation (mm)</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PH : potentiel d’hydrogène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s : seconde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S : sud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SAR : sodium adsorption ratio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T : température</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TA : titre alcalimétrique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TAC : titre alcalimétrique complète</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TH : dureté totale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W : ouest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°C : degré Celsius </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°F : degré français</w:t>
      </w:r>
    </w:p>
    <w:p>
      <w:pPr>
        <w:spacing w:before="0" w:beforeAutospacing="0" w:after="0" w:afterAutospacing="0"/>
        <w:ind w:left="0" w:firstLine="0"/>
        <w:rPr>
          <w:rFonts w:asciiTheme="majorBidi" w:hAnsiTheme="majorBidi" w:cstheme="majorBidi"/>
          <w:sz w:val="24"/>
          <w:szCs w:val="24"/>
        </w:rPr>
      </w:pPr>
      <w:r>
        <w:rPr>
          <w:rFonts w:asciiTheme="majorBidi" w:hAnsiTheme="majorBidi" w:cstheme="majorBidi"/>
          <w:sz w:val="24"/>
          <w:szCs w:val="24"/>
        </w:rPr>
        <w:t xml:space="preserve">µ/cm : micro siemens par centimètre </w:t>
      </w:r>
    </w:p>
    <w:p>
      <w:pPr>
        <w:spacing w:before="0" w:beforeAutospacing="0" w:after="0" w:afterAutospacing="0"/>
        <w:ind w:left="0" w:firstLine="0"/>
        <w:rPr>
          <w:rFonts w:asciiTheme="majorBidi" w:hAnsiTheme="majorBidi" w:cstheme="majorBidi"/>
          <w:sz w:val="24"/>
          <w:szCs w:val="24"/>
        </w:rPr>
      </w:pPr>
    </w:p>
    <w:p>
      <w:pPr>
        <w:spacing w:before="0" w:beforeAutospacing="0" w:after="0" w:afterAutospacing="0"/>
        <w:ind w:left="0" w:firstLine="0"/>
        <w:rPr>
          <w:rFonts w:asciiTheme="majorBidi" w:hAnsiTheme="majorBidi" w:cstheme="majorBidi"/>
          <w:sz w:val="24"/>
          <w:szCs w:val="24"/>
        </w:rPr>
      </w:pPr>
    </w:p>
    <w:p>
      <w:pPr>
        <w:ind w:left="0" w:firstLine="0"/>
      </w:pPr>
      <w:r>
        <w:t xml:space="preserve"> </w:t>
      </w:r>
    </w:p>
    <w:p>
      <w:pPr>
        <w:ind w:left="0" w:firstLine="0"/>
      </w:pPr>
      <w:r>
        <w:t xml:space="preserve"> </w:t>
      </w: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spacing w:after="120" w:line="360" w:lineRule="auto"/>
        <w:jc w:val="center"/>
        <w:rPr>
          <w:rFonts w:asciiTheme="majorBidi" w:hAnsiTheme="majorBidi" w:cstheme="majorBidi"/>
          <w:b/>
          <w:bCs/>
          <w:sz w:val="24"/>
          <w:szCs w:val="24"/>
        </w:rPr>
      </w:pPr>
      <w:r>
        <w:rPr>
          <w:rFonts w:asciiTheme="majorBidi" w:hAnsiTheme="majorBidi" w:cstheme="majorBidi"/>
          <w:b/>
          <w:bCs/>
          <w:sz w:val="24"/>
          <w:szCs w:val="24"/>
        </w:rPr>
        <w:t>INTRODUCTION GENERALE</w:t>
      </w:r>
    </w:p>
    <w:p>
      <w:pPr>
        <w:tabs>
          <w:tab w:val="left" w:pos="567"/>
        </w:tabs>
        <w:spacing w:after="120" w:line="360" w:lineRule="auto"/>
        <w:jc w:val="both"/>
        <w:rPr>
          <w:rFonts w:asciiTheme="majorBidi" w:hAnsiTheme="majorBidi" w:cstheme="majorBidi"/>
          <w:sz w:val="24"/>
          <w:szCs w:val="24"/>
        </w:rPr>
      </w:pPr>
      <w:r>
        <w:rPr>
          <w:rFonts w:asciiTheme="majorBidi" w:hAnsiTheme="majorBidi" w:cstheme="majorBidi"/>
          <w:sz w:val="24"/>
          <w:szCs w:val="24"/>
        </w:rPr>
        <w:t>L’eau est indispensable à la vie. Elle constitue 70% du poids du corps humain.</w:t>
      </w:r>
    </w:p>
    <w:p>
      <w:pPr>
        <w:tabs>
          <w:tab w:val="left" w:pos="567"/>
        </w:tabs>
        <w:spacing w:after="0" w:line="360" w:lineRule="auto"/>
        <w:ind w:firstLine="284"/>
        <w:jc w:val="both"/>
      </w:pPr>
      <w:r>
        <w:rPr>
          <w:rFonts w:asciiTheme="majorBidi" w:hAnsiTheme="majorBidi" w:cstheme="majorBidi"/>
          <w:sz w:val="24"/>
          <w:szCs w:val="24"/>
        </w:rPr>
        <w:t>Elle constitue à la fois un élément essentiel et un facteur stratégique dans tous les domaines. Les ressources en eau souterraines  et les eaux   de surface doivent être mobilisées pour satisfaire les différents besoins  (Alimentation en eau potable pour l’irrigation, et l’industrie …), mais les méthodes inadaptées actuellement utilisées posent des problèmes soit  au bilan hydrologique (recharge des aquifères) soit au traitement des eaux de surface (les eaux de  barrages, eaux de mer, les eaux des Oueds…). Les eaux de surfaces constituent un approvisionnement d’eau potable inestimable pour l’humanité.</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L’eau que nous utilisons provient du réseau public de distribution des eaux. Celui-ci peut être alimenté par un cours d’eau, une nappe phréatique, une source, un barrage.</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Les eaux de surface (cours d’eau, lacs, étangs, ……) sont alimentées par le ruissellement des eaux de pluies.</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En Algérie, la demande en eau que ça soit pour l’AEP, l’agriculture ou l’industrie ne cesse de croître et devient de plus en plus difficile à la satisfaire (sécheresse enregistrée durant les deux dernières décennies) ; de l’accroissement de la population. Ceci oblige les décideurs à construire des ouvrages hydrauliques pour stocker les eaux de précipitations, le stockage de l’eau s’effectue surtout dans des lacs, des barrages dont la taille et par conséquent le coût n’a cessé d’augmenter  pour répondre au risque de sécheresse persistante et d’envasement trop rapide.</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L’eau brute captée en milieu naturel n’est pas toujours potable. Elle doit être acheminée par des canalisations jusqu’à une usine spécialisé dans le traitement de l’eau (barrage+station de traitement), qui la rend « potable » c'est-à-dire consommable sans risques.</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Selon le type d’eau, différents types de traitement peuvent être préconisés (processus)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L’objectif de notre travail est d’étude les paramètres physico-chimiques des eaux de l’oued kramis (les eaux du barrage).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Cette eau traitée provenant du barrage de Kramis  construit pour satisfaire le besoin en AEP et l’irrigation de la région citée ci-dessus</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Ce  travail est divisé en trois chapitres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Premier chapitre: concerne les généralités sur la région d’Acheacha, avec une  synthèse géologique en se référant aux travaux géologues qu’ont étudiées cette région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Deuxième chapitre : est concerné a l’étude le coté hydroclimatologique pour essayé de déterminer les facteurs climatiques qui influent sur les débits instantanés au niveau des stations de prélèvement et en précisant, les caractéristiques morphométriques du bassin versant qui jouent un rôle important sur le ruissèlement ainsi que sur le comportement hydrologique.</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Troisième chapitre : nous avons étudié la qualité chimique des eaux superficielles du bassin versant d’Oued Kramis dont le but principal est de déterminer la potabilité des eaux traitées destinées à la consommation.</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Et enfin une conclusion générale, Nous avons achevé notre travail par une étude approfondie de la qualité des eaux du barrage Kramis et celle des Oueds qui l’alimentent et des recommandations.</w:t>
      </w:r>
    </w:p>
    <w:p>
      <w:pPr>
        <w:spacing w:line="360" w:lineRule="auto"/>
        <w:ind w:firstLine="426"/>
        <w:jc w:val="both"/>
        <w:rPr>
          <w:rFonts w:asciiTheme="majorBidi" w:hAnsiTheme="majorBidi" w:cstheme="majorBidi"/>
          <w:sz w:val="24"/>
          <w:szCs w:val="24"/>
        </w:rPr>
      </w:pPr>
    </w:p>
    <w:p>
      <w:pPr>
        <w:ind w:firstLine="426"/>
        <w:rPr>
          <w:rFonts w:asciiTheme="majorBidi" w:hAnsiTheme="majorBidi" w:cstheme="majorBidi"/>
          <w:sz w:val="24"/>
          <w:szCs w:val="24"/>
        </w:rPr>
      </w:pPr>
    </w:p>
    <w:p>
      <w:pPr>
        <w:ind w:firstLine="426"/>
        <w:rPr>
          <w:rFonts w:asciiTheme="majorBidi" w:hAnsiTheme="majorBidi" w:cstheme="majorBidi"/>
          <w:sz w:val="24"/>
          <w:szCs w:val="24"/>
        </w:rPr>
      </w:pPr>
    </w:p>
    <w:p>
      <w:pPr>
        <w:ind w:firstLine="426"/>
        <w:rPr>
          <w:rFonts w:asciiTheme="majorBidi" w:hAnsiTheme="majorBidi" w:cstheme="majorBidi"/>
          <w:sz w:val="24"/>
          <w:szCs w:val="24"/>
        </w:rPr>
      </w:pPr>
    </w:p>
    <w:p>
      <w:pPr>
        <w:ind w:firstLine="426"/>
        <w:rPr>
          <w:rFonts w:asciiTheme="majorBidi" w:hAnsiTheme="majorBidi" w:cstheme="majorBidi"/>
          <w:sz w:val="24"/>
          <w:szCs w:val="24"/>
        </w:rPr>
      </w:pPr>
    </w:p>
    <w:p>
      <w:pPr>
        <w:tabs>
          <w:tab w:val="left" w:pos="1680"/>
        </w:tabs>
        <w:rPr>
          <w:rFonts w:asciiTheme="majorBidi" w:hAnsiTheme="majorBidi" w:cstheme="majorBidi"/>
          <w:sz w:val="24"/>
          <w:szCs w:val="24"/>
        </w:rPr>
      </w:pPr>
      <w:r>
        <w:rPr>
          <w:rFonts w:asciiTheme="majorBidi" w:hAnsiTheme="majorBidi" w:cstheme="majorBidi"/>
          <w:sz w:val="24"/>
          <w:szCs w:val="24"/>
        </w:rPr>
        <w:t>.</w:t>
      </w: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Introduction : </w:t>
      </w:r>
    </w:p>
    <w:p>
      <w:pPr>
        <w:autoSpaceDE w:val="0"/>
        <w:autoSpaceDN w:val="0"/>
        <w:adjustRightInd w:val="0"/>
        <w:spacing w:after="0" w:line="360" w:lineRule="auto"/>
        <w:ind w:firstLine="284"/>
        <w:rPr>
          <w:rFonts w:asciiTheme="majorBidi" w:hAnsiTheme="majorBidi" w:cstheme="majorBidi"/>
          <w:sz w:val="24"/>
          <w:szCs w:val="24"/>
        </w:rPr>
      </w:pPr>
      <w:r>
        <w:rPr>
          <w:rFonts w:asciiTheme="majorBidi" w:hAnsiTheme="majorBidi" w:cstheme="majorBidi"/>
          <w:sz w:val="24"/>
          <w:szCs w:val="24"/>
        </w:rPr>
        <w:t>Le bassin du Chélif  est situé dans l’atlas tellien de l’Algérie occidental. Il est constitué par une succession de plaines, les plateaux et de collines orientés suivant une direction E-W à NE-SW. Au nord, les collines bordières élevées de 650m sont adossées aux monts de l’Atlas Tellien, le Dahra et le Boumaâd d’altitude moyenne de 800m et 1000m. Au sud, elles butent contre les monts de l’Ouarsenis (1985m).</w:t>
      </w:r>
    </w:p>
    <w:p>
      <w:pPr>
        <w:autoSpaceDE w:val="0"/>
        <w:autoSpaceDN w:val="0"/>
        <w:adjustRightInd w:val="0"/>
        <w:spacing w:after="0" w:line="360" w:lineRule="auto"/>
        <w:ind w:firstLine="284"/>
        <w:rPr>
          <w:rFonts w:asciiTheme="majorBidi" w:hAnsiTheme="majorBidi" w:cstheme="majorBidi"/>
          <w:i/>
          <w:iCs/>
          <w:sz w:val="24"/>
          <w:szCs w:val="24"/>
        </w:rPr>
      </w:pPr>
      <w:r>
        <w:rPr>
          <w:rFonts w:asciiTheme="majorBidi" w:hAnsiTheme="majorBidi" w:cstheme="majorBidi"/>
          <w:sz w:val="24"/>
          <w:szCs w:val="24"/>
        </w:rPr>
        <w:t xml:space="preserve">La grande étendue du bassin, 500km d’Est en Ouest et 25 à75km du Nord au Sud, a nécessité sa subdivision en Haut, Moyen et Bas Chélif  </w:t>
      </w:r>
      <w:r>
        <w:rPr>
          <w:rFonts w:asciiTheme="majorBidi" w:hAnsiTheme="majorBidi" w:cstheme="majorBidi"/>
          <w:i/>
          <w:iCs/>
          <w:sz w:val="24"/>
          <w:szCs w:val="24"/>
        </w:rPr>
        <w:t>(</w:t>
      </w:r>
      <w:r>
        <w:rPr>
          <w:rFonts w:asciiTheme="majorBidi" w:hAnsiTheme="majorBidi" w:cstheme="majorBidi"/>
          <w:sz w:val="24"/>
          <w:szCs w:val="24"/>
        </w:rPr>
        <w:t>Perrodon A, 1957).</w:t>
      </w:r>
    </w:p>
    <w:p>
      <w:pPr>
        <w:autoSpaceDE w:val="0"/>
        <w:autoSpaceDN w:val="0"/>
        <w:adjustRightInd w:val="0"/>
        <w:spacing w:after="0" w:line="360" w:lineRule="auto"/>
        <w:ind w:firstLine="284"/>
        <w:rPr>
          <w:rFonts w:asciiTheme="majorBidi" w:hAnsiTheme="majorBidi" w:cstheme="majorBidi"/>
          <w:sz w:val="24"/>
          <w:szCs w:val="24"/>
        </w:rPr>
      </w:pPr>
      <w:r>
        <w:rPr>
          <w:rFonts w:asciiTheme="majorBidi" w:hAnsiTheme="majorBidi" w:cstheme="majorBidi"/>
          <w:sz w:val="24"/>
          <w:szCs w:val="24"/>
        </w:rPr>
        <w:t>La zone du bassin de Chélif couvre cinq wilayas, Chlef, Relizane, Oran, Mascara, et Mostaganem (où se situe notre zone d’étude)</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 xml:space="preserve">1. Cadre géographique :                                                                                                        </w:t>
      </w:r>
    </w:p>
    <w:p>
      <w:pPr>
        <w:spacing w:after="0" w:line="360" w:lineRule="auto"/>
        <w:rPr>
          <w:rFonts w:asciiTheme="majorBidi" w:hAnsiTheme="majorBidi" w:cstheme="majorBidi"/>
          <w:sz w:val="24"/>
          <w:szCs w:val="24"/>
        </w:rPr>
      </w:pPr>
      <w:r>
        <w:rPr>
          <w:rFonts w:asciiTheme="majorBidi" w:hAnsiTheme="majorBidi" w:cstheme="majorBidi"/>
          <w:b/>
          <w:bCs/>
          <w:sz w:val="24"/>
          <w:szCs w:val="24"/>
        </w:rPr>
        <w:t xml:space="preserve">1.1. localisation géographique générale </w:t>
      </w:r>
      <w:r>
        <w:rPr>
          <w:rFonts w:asciiTheme="majorBidi" w:hAnsiTheme="majorBidi" w:cstheme="majorBidi"/>
          <w:sz w:val="24"/>
          <w:szCs w:val="24"/>
        </w:rPr>
        <w:t>:( figure n°01)</w:t>
      </w:r>
    </w:p>
    <w:p>
      <w:pPr>
        <w:tabs>
          <w:tab w:val="left" w:pos="2550"/>
        </w:tabs>
        <w:spacing w:after="0" w:line="360" w:lineRule="auto"/>
        <w:ind w:firstLine="284"/>
        <w:rPr>
          <w:rFonts w:eastAsia="Times New Roman" w:asciiTheme="majorBidi" w:hAnsiTheme="majorBidi" w:cstheme="majorBidi"/>
          <w:sz w:val="24"/>
          <w:szCs w:val="24"/>
          <w:lang w:eastAsia="fr-FR"/>
        </w:rPr>
      </w:pPr>
      <w:r>
        <w:rPr>
          <w:rFonts w:asciiTheme="majorBidi" w:hAnsiTheme="majorBidi" w:cstheme="majorBidi"/>
          <w:sz w:val="24"/>
          <w:szCs w:val="24"/>
        </w:rPr>
        <w:t xml:space="preserve"> Le bassin étudies situé dans la commune  d’Acheacha qui se trouve à environ  86 Km du chef-lieu de la wilaya de Mostaganem, cette dernière couvre une superficie de  2269 Km² au Nord - Ouest   du pays, elle est située à la latitude </w:t>
      </w:r>
      <w:r>
        <w:rPr>
          <w:rFonts w:eastAsia="Times New Roman" w:asciiTheme="majorBidi" w:hAnsiTheme="majorBidi" w:cstheme="majorBidi"/>
          <w:sz w:val="24"/>
          <w:szCs w:val="24"/>
          <w:lang w:eastAsia="fr-FR"/>
        </w:rPr>
        <w:t>35° 55' 52 N et longitude 0° 5' 21 E.</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Elle est limitée par :                                                                                                                          </w:t>
      </w:r>
    </w:p>
    <w:p>
      <w:pPr>
        <w:pStyle w:val="10"/>
        <w:numPr>
          <w:ilvl w:val="0"/>
          <w:numId w:val="11"/>
        </w:numPr>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 la méditerranée (auNord).</w:t>
      </w:r>
    </w:p>
    <w:p>
      <w:pPr>
        <w:pStyle w:val="10"/>
        <w:numPr>
          <w:ilvl w:val="0"/>
          <w:numId w:val="11"/>
        </w:numPr>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 la wilaya d’Oran (à l’Oust).</w:t>
      </w:r>
    </w:p>
    <w:p>
      <w:pPr>
        <w:pStyle w:val="10"/>
        <w:numPr>
          <w:ilvl w:val="0"/>
          <w:numId w:val="11"/>
        </w:numPr>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 la wilaya de Chlef  (à l’Est).</w:t>
      </w:r>
    </w:p>
    <w:p>
      <w:pPr>
        <w:pStyle w:val="10"/>
        <w:numPr>
          <w:ilvl w:val="0"/>
          <w:numId w:val="11"/>
        </w:numPr>
        <w:spacing w:after="0" w:line="360" w:lineRule="auto"/>
        <w:ind w:firstLine="284"/>
        <w:rPr>
          <w:rFonts w:asciiTheme="majorBidi" w:hAnsiTheme="majorBidi" w:cstheme="majorBidi"/>
          <w:sz w:val="24"/>
          <w:szCs w:val="24"/>
        </w:rPr>
      </w:pPr>
      <w:r>
        <w:rPr>
          <w:rFonts w:asciiTheme="majorBidi" w:hAnsiTheme="majorBidi" w:cstheme="majorBidi"/>
          <w:sz w:val="24"/>
          <w:szCs w:val="24"/>
        </w:rPr>
        <w:t>les wilayas de Mascara et Relizane (au Sud).</w:t>
      </w:r>
    </w:p>
    <w:p>
      <w:pPr>
        <w:spacing w:after="0" w:line="360" w:lineRule="auto"/>
        <w:ind w:right="-1"/>
        <w:jc w:val="both"/>
        <w:rPr>
          <w:rFonts w:asciiTheme="majorBidi" w:hAnsiTheme="majorBidi" w:cstheme="majorBidi"/>
          <w:sz w:val="24"/>
          <w:szCs w:val="24"/>
        </w:rPr>
      </w:pPr>
      <w:r>
        <w:rPr>
          <w:rFonts w:asciiTheme="majorBidi" w:hAnsiTheme="majorBidi" w:cstheme="majorBidi"/>
          <w:b/>
          <w:bCs/>
          <w:sz w:val="24"/>
          <w:szCs w:val="24"/>
        </w:rPr>
        <w:t>1.2. localisation géographique locale </w:t>
      </w:r>
      <w:r>
        <w:rPr>
          <w:rFonts w:asciiTheme="majorBidi" w:hAnsiTheme="majorBidi" w:cstheme="majorBidi"/>
          <w:sz w:val="24"/>
          <w:szCs w:val="24"/>
        </w:rPr>
        <w:t>:( figure n°01.)</w:t>
      </w:r>
    </w:p>
    <w:p>
      <w:pPr>
        <w:spacing w:after="0" w:line="360" w:lineRule="auto"/>
        <w:ind w:right="-1" w:firstLine="284"/>
        <w:jc w:val="both"/>
        <w:rPr>
          <w:rFonts w:asciiTheme="majorBidi" w:hAnsiTheme="majorBidi" w:cstheme="majorBidi"/>
          <w:sz w:val="24"/>
          <w:szCs w:val="24"/>
        </w:rPr>
      </w:pPr>
      <w:r>
        <w:rPr>
          <w:rFonts w:asciiTheme="majorBidi" w:hAnsiTheme="majorBidi" w:cstheme="majorBidi"/>
          <w:sz w:val="24"/>
          <w:szCs w:val="24"/>
        </w:rPr>
        <w:t xml:space="preserve">La commune d’Acheacha qui se situe au Nord-Est de la wilaya de Mostaganem, est limitée géographiquement par les communes suivantes  (figure n°01): </w:t>
      </w:r>
    </w:p>
    <w:p>
      <w:pPr>
        <w:pStyle w:val="10"/>
        <w:numPr>
          <w:ilvl w:val="0"/>
          <w:numId w:val="12"/>
        </w:numPr>
        <w:spacing w:after="0" w:line="360" w:lineRule="auto"/>
        <w:ind w:right="-1" w:firstLine="284"/>
        <w:jc w:val="both"/>
        <w:rPr>
          <w:rFonts w:asciiTheme="majorBidi" w:hAnsiTheme="majorBidi" w:cstheme="majorBidi"/>
          <w:sz w:val="24"/>
          <w:szCs w:val="24"/>
        </w:rPr>
      </w:pPr>
      <w:r>
        <w:rPr>
          <w:rFonts w:asciiTheme="majorBidi" w:hAnsiTheme="majorBidi" w:cstheme="majorBidi"/>
          <w:sz w:val="24"/>
          <w:szCs w:val="24"/>
        </w:rPr>
        <w:t>la mer méditerranéenne (au Nord).</w:t>
      </w:r>
    </w:p>
    <w:p>
      <w:pPr>
        <w:pStyle w:val="10"/>
        <w:numPr>
          <w:ilvl w:val="0"/>
          <w:numId w:val="12"/>
        </w:numPr>
        <w:spacing w:after="0" w:line="360" w:lineRule="auto"/>
        <w:ind w:right="-1" w:firstLine="284"/>
        <w:jc w:val="both"/>
        <w:rPr>
          <w:rFonts w:asciiTheme="majorBidi" w:hAnsiTheme="majorBidi" w:cstheme="majorBidi"/>
          <w:sz w:val="24"/>
          <w:szCs w:val="24"/>
        </w:rPr>
      </w:pPr>
      <w:r>
        <w:rPr>
          <w:rFonts w:asciiTheme="majorBidi" w:hAnsiTheme="majorBidi" w:cstheme="majorBidi"/>
          <w:sz w:val="24"/>
          <w:szCs w:val="24"/>
        </w:rPr>
        <w:t xml:space="preserve">la commune de Nekmaria(au Sud). </w:t>
      </w:r>
    </w:p>
    <w:p>
      <w:pPr>
        <w:pStyle w:val="10"/>
        <w:numPr>
          <w:ilvl w:val="0"/>
          <w:numId w:val="12"/>
        </w:numPr>
        <w:spacing w:after="0" w:line="360" w:lineRule="auto"/>
        <w:ind w:right="-1" w:firstLine="284"/>
        <w:jc w:val="both"/>
        <w:rPr>
          <w:rFonts w:asciiTheme="majorBidi" w:hAnsiTheme="majorBidi" w:cstheme="majorBidi"/>
          <w:sz w:val="24"/>
          <w:szCs w:val="24"/>
        </w:rPr>
      </w:pPr>
      <w:r>
        <w:rPr>
          <w:rFonts w:asciiTheme="majorBidi" w:hAnsiTheme="majorBidi" w:cstheme="majorBidi"/>
          <w:sz w:val="24"/>
          <w:szCs w:val="24"/>
        </w:rPr>
        <w:t>la commune d’Ouled Boughanem (à l’Est).</w:t>
      </w:r>
    </w:p>
    <w:p>
      <w:pPr>
        <w:pStyle w:val="10"/>
        <w:numPr>
          <w:ilvl w:val="0"/>
          <w:numId w:val="12"/>
        </w:numPr>
        <w:spacing w:after="0" w:line="360" w:lineRule="auto"/>
        <w:ind w:right="-1" w:firstLine="284"/>
        <w:jc w:val="both"/>
        <w:rPr>
          <w:rFonts w:asciiTheme="majorBidi" w:hAnsiTheme="majorBidi" w:cstheme="majorBidi"/>
          <w:sz w:val="24"/>
          <w:szCs w:val="24"/>
        </w:rPr>
      </w:pPr>
      <w:r>
        <w:rPr>
          <w:rFonts w:asciiTheme="majorBidi" w:hAnsiTheme="majorBidi" w:cstheme="majorBidi"/>
          <w:sz w:val="24"/>
          <w:szCs w:val="24"/>
        </w:rPr>
        <w:t>la commune de Sidi Lakhdar et la commune de Tazgait (à l’Ouest).</w:t>
      </w:r>
    </w:p>
    <w:p>
      <w:pPr>
        <w:spacing w:after="0" w:line="360" w:lineRule="auto"/>
        <w:rPr>
          <w:rFonts w:asciiTheme="majorBidi" w:hAnsiTheme="majorBidi" w:cstheme="majorBidi"/>
          <w:sz w:val="24"/>
          <w:szCs w:val="24"/>
        </w:rPr>
      </w:pPr>
    </w:p>
    <w:p>
      <w:pPr>
        <w:spacing w:after="0" w:line="360" w:lineRule="auto"/>
        <w:ind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r>
        <w:rPr>
          <w:rFonts w:asciiTheme="majorBidi" w:hAnsiTheme="majorBidi" w:cstheme="majorBidi"/>
          <w:sz w:val="24"/>
          <w:szCs w:val="24"/>
          <w:lang w:eastAsia="fr-FR"/>
        </w:rPr>
        <w:pict>
          <v:rect id="_x0000_s2052" o:spid="_x0000_s2052" o:spt="1" style="position:absolute;left:0pt;margin-left:1.85pt;margin-top:12.05pt;height:558pt;width:460.4pt;z-index:251664384;mso-width-relative:page;mso-height-relative:page;" fillcolor="#FFFFFF" filled="t" stroked="t" coordsize="21600,21600">
            <v:path/>
            <v:fill on="t" focussize="0,0"/>
            <v:stroke weight="2.5pt" color="#000000"/>
            <v:imagedata o:title=""/>
            <o:lock v:ext="edit"/>
            <v:textbox>
              <w:txbxContent>
                <w:p>
                  <w:r>
                    <w:rPr>
                      <w:lang w:eastAsia="fr-FR"/>
                    </w:rPr>
                    <w:drawing>
                      <wp:inline distT="0" distB="0" distL="0" distR="0">
                        <wp:extent cx="5692140" cy="3143250"/>
                        <wp:effectExtent l="0" t="0" r="10160" b="6350"/>
                        <wp:docPr id="16" name="Image 6" descr="C:\Users\belaribi med\AppData\Local\Microsoft\Windows\INetCache\Content.Word\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6" descr="C:\Users\belaribi med\AppData\Local\Microsoft\Windows\INetCache\Content.Word\images.png"/>
                                <pic:cNvPicPr>
                                  <a:picLocks noChangeAspect="1" noChangeArrowheads="1"/>
                                </pic:cNvPicPr>
                              </pic:nvPicPr>
                              <pic:blipFill>
                                <a:blip r:embed="rId7"/>
                                <a:srcRect/>
                                <a:stretch>
                                  <a:fillRect/>
                                </a:stretch>
                              </pic:blipFill>
                              <pic:spPr>
                                <a:xfrm>
                                  <a:off x="0" y="0"/>
                                  <a:ext cx="5692572" cy="3143250"/>
                                </a:xfrm>
                                <a:prstGeom prst="rect">
                                  <a:avLst/>
                                </a:prstGeom>
                                <a:noFill/>
                                <a:ln w="9525">
                                  <a:noFill/>
                                  <a:miter lim="800000"/>
                                  <a:headEnd/>
                                  <a:tailEnd/>
                                </a:ln>
                              </pic:spPr>
                            </pic:pic>
                          </a:graphicData>
                        </a:graphic>
                      </wp:inline>
                    </w:drawing>
                  </w:r>
                </w:p>
                <w:p>
                  <w:pPr>
                    <w:jc w:val="right"/>
                  </w:pPr>
                  <w:r>
                    <w:rPr>
                      <w:lang w:eastAsia="fr-FR"/>
                    </w:rPr>
                    <w:drawing>
                      <wp:inline distT="0" distB="0" distL="0" distR="0">
                        <wp:extent cx="4962525" cy="3133090"/>
                        <wp:effectExtent l="0" t="0" r="3175" b="3810"/>
                        <wp:docPr id="2" name="Image 2" descr="C:\Users\belaribi med\Desktop\image\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C:\Users\belaribi med\Desktop\image\ach.png"/>
                                <pic:cNvPicPr>
                                  <a:picLocks noChangeAspect="1" noChangeArrowheads="1"/>
                                </pic:cNvPicPr>
                              </pic:nvPicPr>
                              <pic:blipFill>
                                <a:blip r:embed="rId8"/>
                                <a:srcRect r="21529"/>
                                <a:stretch>
                                  <a:fillRect/>
                                </a:stretch>
                              </pic:blipFill>
                              <pic:spPr>
                                <a:xfrm>
                                  <a:off x="0" y="0"/>
                                  <a:ext cx="4962765" cy="3133725"/>
                                </a:xfrm>
                                <a:prstGeom prst="rect">
                                  <a:avLst/>
                                </a:prstGeom>
                                <a:noFill/>
                                <a:ln w="9525">
                                  <a:noFill/>
                                  <a:miter lim="800000"/>
                                  <a:headEnd/>
                                  <a:tailEnd/>
                                </a:ln>
                              </pic:spPr>
                            </pic:pic>
                          </a:graphicData>
                        </a:graphic>
                      </wp:inline>
                    </w:drawing>
                  </w:r>
                </w:p>
                <w:p>
                  <w:pPr>
                    <w:jc w:val="center"/>
                  </w:pPr>
                  <w:r>
                    <w:t xml:space="preserve">                                                                          Secteur étudié</w:t>
                  </w:r>
                </w:p>
                <w:p>
                  <w:pPr>
                    <w:jc w:val="center"/>
                  </w:pPr>
                </w:p>
              </w:txbxContent>
            </v:textbox>
          </v:rect>
        </w:pict>
      </w:r>
    </w:p>
    <w:p>
      <w:pPr>
        <w:spacing w:line="360" w:lineRule="auto"/>
        <w:ind w:left="-426" w:right="-1"/>
        <w:jc w:val="both"/>
        <w:rPr>
          <w:rFonts w:asciiTheme="majorBidi" w:hAnsiTheme="majorBidi" w:cstheme="majorBidi"/>
          <w:sz w:val="24"/>
          <w:szCs w:val="24"/>
        </w:rPr>
      </w:pPr>
      <w:r>
        <w:rPr>
          <w:rFonts w:asciiTheme="majorBidi" w:hAnsiTheme="majorBidi" w:cstheme="majorBidi"/>
          <w:sz w:val="24"/>
          <w:szCs w:val="24"/>
          <w:lang w:eastAsia="fr-FR"/>
        </w:rPr>
        <w:pict>
          <v:rect id="_x0000_s2053" o:spid="_x0000_s2053" o:spt="1" style="position:absolute;left:0pt;margin-left:46.85pt;margin-top:26.4pt;height:25.5pt;width:22.5pt;z-index:251666432;mso-width-relative:page;mso-height-relative:page;" filled="f" stroked="f" coordsize="21600,21600">
            <v:path/>
            <v:fill on="f" focussize="0,0"/>
            <v:stroke on="f"/>
            <v:imagedata o:title=""/>
            <o:lock v:ext="edit"/>
            <v:textbox>
              <w:txbxContent>
                <w:p>
                  <w:pPr>
                    <w:rPr>
                      <w:b/>
                      <w:bCs/>
                      <w:sz w:val="32"/>
                      <w:szCs w:val="32"/>
                    </w:rPr>
                  </w:pPr>
                  <w:r>
                    <w:rPr>
                      <w:b/>
                      <w:bCs/>
                      <w:sz w:val="32"/>
                      <w:szCs w:val="32"/>
                    </w:rPr>
                    <w:t>N</w:t>
                  </w:r>
                </w:p>
              </w:txbxContent>
            </v:textbox>
          </v:rect>
        </w:pict>
      </w:r>
      <w:r>
        <w:rPr>
          <w:rFonts w:asciiTheme="majorBidi" w:hAnsiTheme="majorBidi" w:cstheme="majorBidi"/>
          <w:sz w:val="24"/>
          <w:szCs w:val="24"/>
          <w:lang w:eastAsia="fr-FR"/>
        </w:rPr>
        <w:pict>
          <v:shape id="_x0000_s2054" o:spid="_x0000_s2054" o:spt="68" type="#_x0000_t68" style="position:absolute;left:0pt;margin-left:34.85pt;margin-top:10.65pt;height:33pt;width:12pt;z-index:251665408;mso-width-relative:page;mso-height-relative:page;" fillcolor="#548DD4" filled="t" coordsize="21600,21600">
            <v:path/>
            <v:fill on="t" focussize="0,0"/>
            <v:stroke joinstyle="miter"/>
            <v:imagedata o:title=""/>
            <o:lock v:ext="edit"/>
            <v:textbox style="layout-flow:vertical-ideographic;">
              <w:txbxContent>
                <w:p/>
              </w:txbxContent>
            </v:textbox>
          </v:shape>
        </w:pict>
      </w: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r>
        <w:rPr>
          <w:rFonts w:asciiTheme="majorBidi" w:hAnsiTheme="majorBidi" w:cstheme="majorBidi"/>
          <w:sz w:val="24"/>
          <w:szCs w:val="24"/>
          <w:lang w:eastAsia="fr-FR"/>
        </w:rPr>
        <w:pict>
          <v:shape id="_x0000_s2055" o:spid="_x0000_s2055" o:spt="67" type="#_x0000_t67" style="position:absolute;left:0pt;margin-left:275.6pt;margin-top:17.5pt;height:195pt;width:7.15pt;z-index:251667456;mso-width-relative:page;mso-height-relative:page;" fillcolor="#000000" filled="t" coordsize="21600,21600">
            <v:path/>
            <v:fill on="t" focussize="0,0"/>
            <v:stroke joinstyle="miter"/>
            <v:imagedata o:title=""/>
            <o:lock v:ext="edit"/>
            <v:textbox style="layout-flow:vertical-ideographic;">
              <w:txbxContent>
                <w:p/>
              </w:txbxContent>
            </v:textbox>
          </v:shape>
        </w:pict>
      </w: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spacing w:line="360" w:lineRule="auto"/>
        <w:ind w:left="-426" w:right="-1"/>
        <w:jc w:val="both"/>
        <w:rPr>
          <w:rFonts w:asciiTheme="majorBidi" w:hAnsiTheme="majorBidi" w:cstheme="majorBidi"/>
          <w:sz w:val="24"/>
          <w:szCs w:val="24"/>
        </w:rPr>
      </w:pPr>
    </w:p>
    <w:p>
      <w:pPr>
        <w:tabs>
          <w:tab w:val="right" w:pos="9215"/>
        </w:tabs>
        <w:spacing w:line="360" w:lineRule="auto"/>
        <w:ind w:left="-426" w:right="-1"/>
        <w:jc w:val="both"/>
        <w:rPr>
          <w:rFonts w:asciiTheme="majorBidi" w:hAnsiTheme="majorBidi" w:cstheme="majorBidi"/>
          <w:sz w:val="24"/>
          <w:szCs w:val="24"/>
        </w:rPr>
      </w:pPr>
      <w:r>
        <w:rPr>
          <w:rFonts w:asciiTheme="majorBidi" w:hAnsiTheme="majorBidi" w:cstheme="majorBidi"/>
          <w:sz w:val="24"/>
          <w:szCs w:val="24"/>
          <w:lang w:eastAsia="fr-FR"/>
        </w:rPr>
        <w:pict>
          <v:rect id="_x0000_s2056" o:spid="_x0000_s2056" o:spt="1" style="position:absolute;left:0pt;margin-left:367.1pt;margin-top:15.2pt;height:18.75pt;width:41.25pt;z-index:251668480;mso-width-relative:page;mso-height-relative:page;" fillcolor="#FFFFFF" filled="t" stroked="t" coordsize="21600,21600">
            <v:path/>
            <v:fill on="t" focussize="0,0"/>
            <v:stroke weight="2.5pt" color="#0070C0"/>
            <v:imagedata o:title=""/>
            <o:lock v:ext="edit"/>
            <v:textbox>
              <w:txbxContent>
                <w:p/>
              </w:txbxContent>
            </v:textbox>
          </v:rect>
        </w:pict>
      </w:r>
      <w:r>
        <w:rPr>
          <w:rFonts w:asciiTheme="majorBidi" w:hAnsiTheme="majorBidi" w:cstheme="majorBidi"/>
          <w:sz w:val="24"/>
          <w:szCs w:val="24"/>
        </w:rPr>
        <w:tab/>
      </w:r>
    </w:p>
    <w:p>
      <w:pPr>
        <w:spacing w:line="360" w:lineRule="auto"/>
        <w:ind w:left="-426" w:right="-1"/>
        <w:jc w:val="both"/>
        <w:rPr>
          <w:rFonts w:asciiTheme="majorBidi" w:hAnsiTheme="majorBidi" w:cstheme="majorBidi"/>
          <w:sz w:val="24"/>
          <w:szCs w:val="24"/>
        </w:rPr>
      </w:pPr>
    </w:p>
    <w:p>
      <w:pPr>
        <w:spacing w:line="360" w:lineRule="auto"/>
        <w:ind w:right="-1"/>
        <w:jc w:val="center"/>
        <w:rPr>
          <w:rFonts w:asciiTheme="majorBidi" w:hAnsiTheme="majorBidi" w:cstheme="majorBidi"/>
          <w:color w:val="FF0000"/>
          <w:sz w:val="24"/>
          <w:szCs w:val="24"/>
        </w:rPr>
      </w:pPr>
      <w:r>
        <w:rPr>
          <w:rFonts w:asciiTheme="majorBidi" w:hAnsiTheme="majorBidi" w:cstheme="majorBidi"/>
          <w:sz w:val="24"/>
          <w:szCs w:val="24"/>
          <w:lang w:eastAsia="fr-FR"/>
        </w:rPr>
        <w:pict>
          <v:rect id="_x0000_s2057" o:spid="_x0000_s2057" o:spt="1" style="position:absolute;left:0pt;margin-left:51.35pt;margin-top:15.9pt;height:27.75pt;width:20.25pt;z-index:251669504;mso-width-relative:page;mso-height-relative:page;" fillcolor="#00B0F0" filled="f" stroked="f" coordsize="21600,21600">
            <v:path/>
            <v:fill on="f" focussize="0,0"/>
            <v:stroke on="f"/>
            <v:imagedata o:title=""/>
            <o:lock v:ext="edit"/>
            <v:textbox>
              <w:txbxContent>
                <w:p/>
              </w:txbxContent>
            </v:textbox>
          </v:rect>
        </w:pict>
      </w:r>
      <w:r>
        <w:rPr>
          <w:rFonts w:asciiTheme="majorBidi" w:hAnsiTheme="majorBidi" w:cstheme="majorBidi"/>
          <w:sz w:val="24"/>
          <w:szCs w:val="24"/>
        </w:rPr>
        <w:t xml:space="preserve">Fig n°01: localisation géographique de la wilaya de Mostaganem et la commune de Acheacha  </w:t>
      </w:r>
      <w:r>
        <w:t>(</w:t>
      </w:r>
      <w:r>
        <w:rPr>
          <w:rFonts w:asciiTheme="majorBidi" w:hAnsiTheme="majorBidi" w:cstheme="majorBidi"/>
          <w:sz w:val="24"/>
          <w:szCs w:val="24"/>
        </w:rPr>
        <w:t>Google earth).</w:t>
      </w:r>
      <w:r>
        <w:rPr>
          <w:rFonts w:asciiTheme="majorBidi" w:hAnsiTheme="majorBidi" w:cstheme="majorBidi"/>
          <w:color w:val="FF0000"/>
          <w:sz w:val="24"/>
          <w:szCs w:val="24"/>
        </w:rPr>
        <w:t xml:space="preserve"> </w:t>
      </w:r>
    </w:p>
    <w:p>
      <w:pPr>
        <w:spacing w:line="360" w:lineRule="auto"/>
        <w:ind w:left="-426" w:right="-1"/>
        <w:jc w:val="both"/>
        <w:rPr>
          <w:rFonts w:asciiTheme="majorBidi" w:hAnsiTheme="majorBidi" w:cstheme="majorBidi"/>
          <w:sz w:val="24"/>
          <w:szCs w:val="24"/>
        </w:rPr>
      </w:pPr>
    </w:p>
    <w:p>
      <w:pPr>
        <w:spacing w:line="360" w:lineRule="auto"/>
        <w:ind w:right="-1"/>
        <w:jc w:val="both"/>
        <w:rPr>
          <w:rFonts w:asciiTheme="majorBidi" w:hAnsiTheme="majorBidi" w:cstheme="majorBidi"/>
          <w:sz w:val="24"/>
          <w:szCs w:val="24"/>
        </w:rPr>
      </w:pP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 bassin versant d’oued kramis (Acheacha) occupe la partie  Nord-Ouest de l’Algérie, avec  une superficie totale 300 Km</w:t>
      </w:r>
      <w:r>
        <w:rPr>
          <w:rFonts w:asciiTheme="majorBidi" w:hAnsiTheme="majorBidi" w:cstheme="majorBidi"/>
          <w:sz w:val="24"/>
          <w:szCs w:val="24"/>
          <w:vertAlign w:val="superscript"/>
        </w:rPr>
        <w:t>2</w:t>
      </w:r>
      <w:r>
        <w:rPr>
          <w:rFonts w:asciiTheme="majorBidi" w:hAnsiTheme="majorBidi" w:cstheme="majorBidi"/>
          <w:sz w:val="24"/>
          <w:szCs w:val="24"/>
        </w:rPr>
        <w:t xml:space="preserve"> (jusqu’au site du barrage de Kramis), une altitude moyenne de 390m, et une longueur maximale de l’oued de 37,50 km. Il est situé au sud-est du chef- lieu de la commune d‘ Acheacha et au nord -est du chef-lieu de la commune de Nekemaria, approximativement de 80km à l’est de la ville de Mostaganem et 14 km environ de son embouchure avec la mer méditerranéenne, Cet ouvrage alimente la commune d’Acheacha par un volume affecté de 10 Hm³ et  renforce l’AEP de la zone de Dahra (Sidi Lakhdar, Nekmaria, Ouled Boughanem), par un volume affecté de 5Hm³.</w:t>
      </w:r>
    </w:p>
    <w:p>
      <w:pPr>
        <w:spacing w:after="0" w:line="360" w:lineRule="auto"/>
        <w:ind w:right="-1" w:firstLine="284"/>
        <w:rPr>
          <w:rFonts w:asciiTheme="majorBidi" w:hAnsiTheme="majorBidi" w:cstheme="majorBidi"/>
          <w:sz w:val="24"/>
          <w:szCs w:val="24"/>
        </w:rPr>
      </w:pPr>
      <w:r>
        <w:rPr>
          <w:rFonts w:asciiTheme="majorBidi" w:hAnsiTheme="majorBidi" w:cstheme="majorBidi"/>
          <w:sz w:val="24"/>
          <w:szCs w:val="24"/>
        </w:rPr>
        <w:t xml:space="preserve">Ces limites géographiques  de bassin versant étudié sont (figue n°02) :   </w:t>
      </w:r>
    </w:p>
    <w:p>
      <w:pPr>
        <w:pStyle w:val="10"/>
        <w:numPr>
          <w:ilvl w:val="0"/>
          <w:numId w:val="13"/>
        </w:numPr>
        <w:spacing w:after="0" w:line="360" w:lineRule="auto"/>
        <w:ind w:right="-1" w:firstLine="284"/>
        <w:rPr>
          <w:rFonts w:asciiTheme="majorBidi" w:hAnsiTheme="majorBidi" w:cstheme="majorBidi"/>
          <w:sz w:val="24"/>
          <w:szCs w:val="24"/>
        </w:rPr>
      </w:pPr>
      <w:r>
        <w:rPr>
          <w:rFonts w:asciiTheme="majorBidi" w:hAnsiTheme="majorBidi" w:cstheme="majorBidi"/>
          <w:sz w:val="24"/>
          <w:szCs w:val="24"/>
        </w:rPr>
        <w:t>la mer méditerranéenne (au Nord).</w:t>
      </w:r>
    </w:p>
    <w:p>
      <w:pPr>
        <w:pStyle w:val="10"/>
        <w:numPr>
          <w:ilvl w:val="0"/>
          <w:numId w:val="13"/>
        </w:numPr>
        <w:spacing w:after="0" w:line="360" w:lineRule="auto"/>
        <w:ind w:right="-1" w:firstLine="284"/>
        <w:rPr>
          <w:rFonts w:asciiTheme="majorBidi" w:hAnsiTheme="majorBidi" w:cstheme="majorBidi"/>
          <w:sz w:val="24"/>
          <w:szCs w:val="24"/>
        </w:rPr>
      </w:pPr>
      <w:r>
        <w:rPr>
          <w:rFonts w:asciiTheme="majorBidi" w:hAnsiTheme="majorBidi" w:cstheme="majorBidi"/>
          <w:sz w:val="24"/>
          <w:szCs w:val="24"/>
        </w:rPr>
        <w:t>les monts de Dahra (au Sud).</w:t>
      </w:r>
    </w:p>
    <w:p>
      <w:pPr>
        <w:pStyle w:val="10"/>
        <w:numPr>
          <w:ilvl w:val="0"/>
          <w:numId w:val="13"/>
        </w:numPr>
        <w:spacing w:after="0" w:line="360" w:lineRule="auto"/>
        <w:ind w:right="-1" w:firstLine="284"/>
        <w:rPr>
          <w:rFonts w:asciiTheme="majorBidi" w:hAnsiTheme="majorBidi" w:cstheme="majorBidi"/>
          <w:sz w:val="24"/>
          <w:szCs w:val="24"/>
        </w:rPr>
      </w:pPr>
      <w:r>
        <w:rPr>
          <w:rFonts w:asciiTheme="majorBidi" w:hAnsiTheme="majorBidi" w:cstheme="majorBidi"/>
          <w:sz w:val="24"/>
          <w:szCs w:val="24"/>
        </w:rPr>
        <w:t>Oued Kaddous (à l’Est).</w:t>
      </w:r>
    </w:p>
    <w:p>
      <w:pPr>
        <w:pStyle w:val="10"/>
        <w:numPr>
          <w:ilvl w:val="0"/>
          <w:numId w:val="13"/>
        </w:numPr>
        <w:spacing w:after="0" w:line="360" w:lineRule="auto"/>
        <w:ind w:right="-1" w:firstLine="284"/>
        <w:jc w:val="both"/>
        <w:rPr>
          <w:rFonts w:asciiTheme="majorBidi" w:hAnsiTheme="majorBidi" w:cstheme="majorBidi"/>
          <w:sz w:val="24"/>
          <w:szCs w:val="24"/>
        </w:rPr>
      </w:pPr>
      <w:r>
        <w:rPr>
          <w:rFonts w:asciiTheme="majorBidi" w:hAnsiTheme="majorBidi" w:cstheme="majorBidi"/>
          <w:sz w:val="24"/>
          <w:szCs w:val="24"/>
        </w:rPr>
        <w:t>Oued Roummane (à l’Ouest).</w:t>
      </w:r>
    </w:p>
    <w:p>
      <w:pPr>
        <w:spacing w:line="360" w:lineRule="auto"/>
        <w:ind w:right="-1"/>
        <w:jc w:val="both"/>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5857875" cy="4324350"/>
            <wp:effectExtent l="0" t="0" r="9525" b="6350"/>
            <wp:docPr id="4" name="Image 4" descr="C:\Users\p\Desktop\photo\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C:\Users\p\Desktop\photo\d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859109" cy="4325261"/>
                    </a:xfrm>
                    <a:prstGeom prst="rect">
                      <a:avLst/>
                    </a:prstGeom>
                    <a:noFill/>
                    <a:ln>
                      <a:noFill/>
                    </a:ln>
                  </pic:spPr>
                </pic:pic>
              </a:graphicData>
            </a:graphic>
          </wp:inline>
        </w:drawing>
      </w:r>
    </w:p>
    <w:p>
      <w:pPr>
        <w:tabs>
          <w:tab w:val="left" w:pos="1350"/>
        </w:tabs>
        <w:spacing w:line="360" w:lineRule="auto"/>
        <w:jc w:val="center"/>
        <w:rPr>
          <w:rFonts w:asciiTheme="majorBidi" w:hAnsiTheme="majorBidi" w:cstheme="majorBidi"/>
          <w:sz w:val="24"/>
          <w:szCs w:val="24"/>
        </w:rPr>
      </w:pPr>
      <w:r>
        <w:rPr>
          <w:rFonts w:asciiTheme="majorBidi" w:hAnsiTheme="majorBidi" w:cstheme="majorBidi"/>
          <w:sz w:val="24"/>
          <w:szCs w:val="24"/>
        </w:rPr>
        <w:t>Fign°02 : localisation géographique locale. (Google earth).</w:t>
      </w:r>
    </w:p>
    <w:p>
      <w:pPr>
        <w:tabs>
          <w:tab w:val="left" w:pos="1350"/>
        </w:tabs>
        <w:spacing w:line="360" w:lineRule="auto"/>
        <w:jc w:val="center"/>
        <w:rPr>
          <w:rFonts w:asciiTheme="majorBidi" w:hAnsiTheme="majorBidi" w:cstheme="majorBidi"/>
          <w:b/>
          <w:bCs/>
          <w:sz w:val="24"/>
          <w:szCs w:val="24"/>
        </w:rPr>
      </w:pPr>
    </w:p>
    <w:p>
      <w:pPr>
        <w:tabs>
          <w:tab w:val="left" w:pos="1350"/>
        </w:tabs>
        <w:spacing w:line="360" w:lineRule="auto"/>
        <w:jc w:val="center"/>
        <w:rPr>
          <w:rFonts w:asciiTheme="majorBidi" w:hAnsiTheme="majorBidi" w:cstheme="majorBidi"/>
          <w:b/>
          <w:bCs/>
          <w:sz w:val="24"/>
          <w:szCs w:val="24"/>
        </w:rPr>
      </w:pPr>
    </w:p>
    <w:p>
      <w:pPr>
        <w:tabs>
          <w:tab w:val="left" w:pos="1350"/>
        </w:tabs>
        <w:spacing w:after="0" w:line="360" w:lineRule="auto"/>
        <w:jc w:val="both"/>
        <w:rPr>
          <w:rFonts w:asciiTheme="majorBidi" w:hAnsiTheme="majorBidi" w:cstheme="majorBidi"/>
          <w:sz w:val="24"/>
          <w:szCs w:val="24"/>
        </w:rPr>
      </w:pPr>
      <w:r>
        <w:rPr>
          <w:rFonts w:asciiTheme="majorBidi" w:hAnsiTheme="majorBidi" w:cstheme="majorBidi"/>
          <w:b/>
          <w:bCs/>
          <w:sz w:val="24"/>
          <w:szCs w:val="24"/>
        </w:rPr>
        <w:t xml:space="preserve">2. Cadre géomorphologique : </w:t>
      </w:r>
      <w:r>
        <w:rPr>
          <w:rFonts w:asciiTheme="majorBidi" w:hAnsiTheme="majorBidi" w:cstheme="majorBidi"/>
          <w:sz w:val="24"/>
          <w:szCs w:val="24"/>
        </w:rPr>
        <w:t>(figue n°03)</w:t>
      </w:r>
    </w:p>
    <w:p>
      <w:pPr>
        <w:pStyle w:val="10"/>
        <w:autoSpaceDE w:val="0"/>
        <w:autoSpaceDN w:val="0"/>
        <w:adjustRightInd w:val="0"/>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Le bassin néogène et quaternaire du Bas Chélif est situé dans le segment tellien de la chaîne alpine d’Afrique du Nord. Il est constitué d’un ensemble de sous bassins alignés parallèlement à  la côte ouest Algérienne. Le périmètre du Chélif fait partie du domaine tellien ou chaîne alpine de l’Afrique du nord.</w:t>
      </w:r>
    </w:p>
    <w:p>
      <w:pPr>
        <w:pStyle w:val="10"/>
        <w:autoSpaceDE w:val="0"/>
        <w:autoSpaceDN w:val="0"/>
        <w:adjustRightInd w:val="0"/>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En termes de bassin, d’après Perrodon (1957) et Trescartes Neurdin (1992), le Chélif correspond à un bassin intra-montagneux. Ils le considèrent comment un sillon complexe, discontinu par une succession de môles et de fosses, orienté ENE-WSW. Les faciès marneux remplissent essentiellement les fosses, tandis que les dépôts détritiques se déposent au niveau des bordures (Kazi Tani N, 1986).</w:t>
      </w:r>
    </w:p>
    <w:p>
      <w:pPr>
        <w:pStyle w:val="10"/>
        <w:autoSpaceDE w:val="0"/>
        <w:autoSpaceDN w:val="0"/>
        <w:adjustRightInd w:val="0"/>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La région étudiée est faut partie (Perrodon 1957</w:t>
      </w:r>
      <w:r>
        <w:rPr>
          <w:rFonts w:asciiTheme="majorBidi" w:hAnsiTheme="majorBidi" w:cstheme="majorBidi"/>
          <w:i/>
          <w:iCs/>
          <w:sz w:val="24"/>
          <w:szCs w:val="24"/>
        </w:rPr>
        <w:t xml:space="preserve">) </w:t>
      </w:r>
      <w:r>
        <w:rPr>
          <w:rFonts w:asciiTheme="majorBidi" w:hAnsiTheme="majorBidi" w:cstheme="majorBidi"/>
          <w:sz w:val="24"/>
          <w:szCs w:val="24"/>
        </w:rPr>
        <w:t>bassin du bas Chélif. Trois sillons : nord, médian et sud séparés par des secteurs montagneux caractérisent cette région :</w:t>
      </w:r>
    </w:p>
    <w:p>
      <w:pPr>
        <w:autoSpaceDE w:val="0"/>
        <w:autoSpaceDN w:val="0"/>
        <w:adjustRightInd w:val="0"/>
        <w:spacing w:after="0" w:line="360" w:lineRule="auto"/>
        <w:rPr>
          <w:rFonts w:asciiTheme="majorBidi" w:hAnsiTheme="majorBidi" w:cstheme="majorBidi"/>
          <w:sz w:val="24"/>
          <w:szCs w:val="24"/>
        </w:rPr>
      </w:pPr>
      <w:r>
        <w:rPr>
          <w:rFonts w:asciiTheme="majorBidi" w:hAnsiTheme="majorBidi" w:cstheme="majorBidi"/>
          <w:sz w:val="24"/>
          <w:szCs w:val="24"/>
        </w:rPr>
        <w:t>1- Le sillon nord est en partie sous marin. Il correspond au plateau d’Aacheacha.</w:t>
      </w:r>
    </w:p>
    <w:p>
      <w:pPr>
        <w:autoSpaceDE w:val="0"/>
        <w:autoSpaceDN w:val="0"/>
        <w:adjustRightInd w:val="0"/>
        <w:spacing w:after="0" w:line="360" w:lineRule="auto"/>
        <w:rPr>
          <w:rFonts w:asciiTheme="majorBidi" w:hAnsiTheme="majorBidi" w:cstheme="majorBidi"/>
          <w:sz w:val="24"/>
          <w:szCs w:val="24"/>
        </w:rPr>
      </w:pPr>
      <w:r>
        <w:rPr>
          <w:rFonts w:asciiTheme="majorBidi" w:hAnsiTheme="majorBidi" w:cstheme="majorBidi"/>
          <w:sz w:val="24"/>
          <w:szCs w:val="24"/>
        </w:rPr>
        <w:t xml:space="preserve">2- Le sillon médian englobe les plaines de l’Habra, Mina, Ech-Chlef </w:t>
      </w:r>
      <w:r>
        <w:rPr>
          <w:rFonts w:asciiTheme="majorBidi" w:hAnsiTheme="majorBidi" w:cstheme="majorBidi"/>
          <w:color w:val="FF0000"/>
          <w:sz w:val="24"/>
          <w:szCs w:val="24"/>
        </w:rPr>
        <w:t xml:space="preserve"> </w:t>
      </w:r>
      <w:r>
        <w:rPr>
          <w:rFonts w:asciiTheme="majorBidi" w:hAnsiTheme="majorBidi" w:cstheme="majorBidi"/>
          <w:sz w:val="24"/>
          <w:szCs w:val="24"/>
        </w:rPr>
        <w:t>et les plateaux de St Louis et de Mostaganem.</w:t>
      </w:r>
    </w:p>
    <w:p>
      <w:pPr>
        <w:tabs>
          <w:tab w:val="left" w:pos="1350"/>
        </w:tabs>
        <w:spacing w:after="0" w:line="360" w:lineRule="auto"/>
        <w:jc w:val="both"/>
        <w:rPr>
          <w:rFonts w:asciiTheme="majorBidi" w:hAnsiTheme="majorBidi" w:cstheme="majorBidi"/>
          <w:sz w:val="24"/>
          <w:szCs w:val="24"/>
        </w:rPr>
      </w:pPr>
      <w:r>
        <w:rPr>
          <w:rFonts w:asciiTheme="majorBidi" w:hAnsiTheme="majorBidi" w:cstheme="majorBidi"/>
          <w:sz w:val="24"/>
          <w:szCs w:val="24"/>
        </w:rPr>
        <w:t>3- Le sillon sud occupe la plaine de Mascara.</w:t>
      </w:r>
    </w:p>
    <w:p>
      <w:pPr>
        <w:tabs>
          <w:tab w:val="left" w:pos="1350"/>
        </w:tabs>
        <w:spacing w:line="360" w:lineRule="auto"/>
        <w:jc w:val="both"/>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5761355" cy="2867025"/>
            <wp:effectExtent l="0" t="0" r="4445" b="3175"/>
            <wp:docPr id="6" name="Image 2" descr="Résultat de recherche d'images pour &quot;carte de situation du bassin du cheli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2" descr="Résultat de recherche d'images pour &quot;carte de situation du bassin du chelif&quot;"/>
                    <pic:cNvPicPr>
                      <a:picLocks noChangeAspect="1" noChangeArrowheads="1"/>
                    </pic:cNvPicPr>
                  </pic:nvPicPr>
                  <pic:blipFill>
                    <a:blip r:embed="rId10"/>
                    <a:srcRect/>
                    <a:stretch>
                      <a:fillRect/>
                    </a:stretch>
                  </pic:blipFill>
                  <pic:spPr>
                    <a:xfrm>
                      <a:off x="0" y="0"/>
                      <a:ext cx="5760720" cy="2866611"/>
                    </a:xfrm>
                    <a:prstGeom prst="rect">
                      <a:avLst/>
                    </a:prstGeom>
                    <a:noFill/>
                    <a:ln w="9525">
                      <a:noFill/>
                      <a:miter lim="800000"/>
                      <a:headEnd/>
                      <a:tailEnd/>
                    </a:ln>
                  </pic:spPr>
                </pic:pic>
              </a:graphicData>
            </a:graphic>
          </wp:inline>
        </w:drawing>
      </w:r>
    </w:p>
    <w:p>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Fig n°03 : Géomorphologie générale du bassin du Chélif.</w:t>
      </w:r>
    </w:p>
    <w:p>
      <w:pPr>
        <w:autoSpaceDE w:val="0"/>
        <w:autoSpaceDN w:val="0"/>
        <w:adjustRightInd w:val="0"/>
        <w:spacing w:after="0" w:line="360" w:lineRule="auto"/>
        <w:jc w:val="center"/>
        <w:rPr>
          <w:rFonts w:ascii="Times New Roman" w:hAnsi="Times New Roman" w:cs="Times New Roman"/>
          <w:b/>
          <w:bCs/>
          <w:sz w:val="24"/>
          <w:szCs w:val="24"/>
        </w:rPr>
      </w:pPr>
    </w:p>
    <w:p>
      <w:pPr>
        <w:autoSpaceDE w:val="0"/>
        <w:autoSpaceDN w:val="0"/>
        <w:adjustRightInd w:val="0"/>
        <w:spacing w:after="0" w:line="360" w:lineRule="auto"/>
        <w:ind w:firstLine="284"/>
        <w:rPr>
          <w:rFonts w:ascii="Times New Roman" w:hAnsi="Times New Roman" w:cs="Times New Roman"/>
          <w:sz w:val="24"/>
          <w:szCs w:val="24"/>
        </w:rPr>
      </w:pPr>
      <w:r>
        <w:rPr>
          <w:rFonts w:ascii="Times New Roman" w:hAnsi="Times New Roman" w:cs="Times New Roman"/>
          <w:sz w:val="24"/>
          <w:szCs w:val="24"/>
        </w:rPr>
        <w:t>Entre les deux premiers sillons nord et médian s’élèvent les massifs du Dahra. Le sillon médian est séparé du sillon sud par le Tell méridional qui comprend, dans la région étudiée, d’Ouest en Est les monts de Beni Chougrane et le massif de l’Ouarsenis. Le sillon sud, quand à lui, est bordé par les hauts plateaux Oranais.</w:t>
      </w:r>
    </w:p>
    <w:p>
      <w:pPr>
        <w:tabs>
          <w:tab w:val="left" w:pos="1350"/>
        </w:tabs>
        <w:spacing w:after="0" w:line="360" w:lineRule="auto"/>
        <w:ind w:firstLine="284"/>
        <w:jc w:val="both"/>
        <w:rPr>
          <w:rFonts w:asciiTheme="majorBidi" w:hAnsiTheme="majorBidi" w:cstheme="majorBidi"/>
          <w:b/>
          <w:bCs/>
          <w:sz w:val="24"/>
          <w:szCs w:val="24"/>
        </w:rPr>
      </w:pPr>
      <w:r>
        <w:rPr>
          <w:rFonts w:asciiTheme="majorBidi" w:hAnsiTheme="majorBidi" w:cstheme="majorBidi"/>
          <w:sz w:val="24"/>
          <w:szCs w:val="24"/>
        </w:rPr>
        <w:t>Le relief de la wilaya de Mostaganem se divise en quatre unités morphologiques (les vallées basses de l’Ouest, les monts de Dahra, le plateau de Mostaganem, les vallées de l’Est) appartenant à deux régions distinctes : le Plateau de Mostaganem et de Dahra.</w:t>
      </w:r>
    </w:p>
    <w:p>
      <w:pPr>
        <w:tabs>
          <w:tab w:val="left" w:pos="1350"/>
        </w:tabs>
        <w:spacing w:after="0" w:line="360" w:lineRule="auto"/>
        <w:jc w:val="both"/>
        <w:rPr>
          <w:rFonts w:asciiTheme="majorBidi" w:hAnsiTheme="majorBidi" w:cstheme="majorBidi"/>
          <w:sz w:val="24"/>
          <w:szCs w:val="24"/>
        </w:rPr>
      </w:pPr>
      <w:r>
        <w:rPr>
          <w:rFonts w:asciiTheme="majorBidi" w:hAnsiTheme="majorBidi" w:cstheme="majorBidi"/>
          <w:sz w:val="24"/>
          <w:szCs w:val="24"/>
        </w:rPr>
        <w:t>L’espace de notre zone d’étude appartient à la région de Dahra qui est composé de trois ensembles physiques distincts:</w:t>
      </w:r>
    </w:p>
    <w:p>
      <w:pPr>
        <w:pStyle w:val="10"/>
        <w:numPr>
          <w:ilvl w:val="0"/>
          <w:numId w:val="14"/>
        </w:numPr>
        <w:tabs>
          <w:tab w:val="left" w:pos="135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Les plaines :</w:t>
      </w:r>
    </w:p>
    <w:p>
      <w:pPr>
        <w:tabs>
          <w:tab w:val="left" w:pos="1350"/>
        </w:tabs>
        <w:spacing w:after="0" w:line="360" w:lineRule="auto"/>
        <w:jc w:val="both"/>
        <w:rPr>
          <w:rFonts w:asciiTheme="majorBidi" w:hAnsiTheme="majorBidi" w:cstheme="majorBidi"/>
          <w:sz w:val="24"/>
          <w:szCs w:val="24"/>
        </w:rPr>
      </w:pPr>
      <w:r>
        <w:rPr>
          <w:rFonts w:asciiTheme="majorBidi" w:hAnsiTheme="majorBidi" w:cstheme="majorBidi"/>
          <w:sz w:val="24"/>
          <w:szCs w:val="24"/>
        </w:rPr>
        <w:t>Les plaines représentent 60% de l’espace communal du secteur d’Acheacha avec des pentes de 0 et 5% formant une cuvette dissymétrique de direction Sud-Sud-Ouest Nord-Nord Est.</w:t>
      </w:r>
    </w:p>
    <w:p>
      <w:pPr>
        <w:pStyle w:val="10"/>
        <w:numPr>
          <w:ilvl w:val="0"/>
          <w:numId w:val="14"/>
        </w:numPr>
        <w:tabs>
          <w:tab w:val="left" w:pos="135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Les montagnes:</w:t>
      </w:r>
    </w:p>
    <w:p>
      <w:pPr>
        <w:tabs>
          <w:tab w:val="left" w:pos="1350"/>
        </w:tabs>
        <w:spacing w:after="0" w:line="360" w:lineRule="auto"/>
        <w:rPr>
          <w:rFonts w:asciiTheme="majorBidi" w:hAnsiTheme="majorBidi" w:cstheme="majorBidi"/>
          <w:sz w:val="24"/>
          <w:szCs w:val="24"/>
        </w:rPr>
      </w:pPr>
      <w:r>
        <w:rPr>
          <w:rFonts w:asciiTheme="majorBidi" w:hAnsiTheme="majorBidi" w:cstheme="majorBidi"/>
          <w:sz w:val="24"/>
          <w:szCs w:val="24"/>
        </w:rPr>
        <w:t>L’ensemble montagneux est représenté par des massifs rocheux  au Sud de la commune Acheacha  avec une altitude maximale de 318m ; ces massifs montagneux sont constitués de reliefs accidentés tel que djebels Zerrifa, M’hara et Nefaissa.</w:t>
      </w:r>
    </w:p>
    <w:p>
      <w:pPr>
        <w:pStyle w:val="10"/>
        <w:numPr>
          <w:ilvl w:val="0"/>
          <w:numId w:val="14"/>
        </w:numPr>
        <w:tabs>
          <w:tab w:val="left" w:pos="135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Les piémonts et les vallées :</w:t>
      </w:r>
    </w:p>
    <w:p>
      <w:pPr>
        <w:tabs>
          <w:tab w:val="left" w:pos="1350"/>
        </w:tabs>
        <w:spacing w:after="0" w:line="360" w:lineRule="auto"/>
        <w:rPr>
          <w:rFonts w:asciiTheme="majorBidi" w:hAnsiTheme="majorBidi" w:cstheme="majorBidi"/>
          <w:sz w:val="24"/>
          <w:szCs w:val="24"/>
        </w:rPr>
      </w:pPr>
      <w:r>
        <w:rPr>
          <w:rFonts w:asciiTheme="majorBidi" w:hAnsiTheme="majorBidi" w:cstheme="majorBidi"/>
          <w:sz w:val="24"/>
          <w:szCs w:val="24"/>
        </w:rPr>
        <w:t>L’ensemble de piémonts et des vallées occupent la position intermédiaire entre les montagnes et les plaines. (Fellah, 2014).</w:t>
      </w:r>
    </w:p>
    <w:p>
      <w:pPr>
        <w:tabs>
          <w:tab w:val="left" w:pos="135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3.  Géologie </w:t>
      </w:r>
    </w:p>
    <w:p>
      <w:pPr>
        <w:tabs>
          <w:tab w:val="left" w:pos="135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3.1. Géologique régionale :</w:t>
      </w:r>
    </w:p>
    <w:p>
      <w:pPr>
        <w:pStyle w:val="10"/>
        <w:autoSpaceDE w:val="0"/>
        <w:autoSpaceDN w:val="0"/>
        <w:adjustRightInd w:val="0"/>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La plaine du Chélif (figure 4) est constituée de terrains récents néogènes et quaternaires, tandis que les massifs bordiers de Boumaâd, Dahra et Ouarsenis sont formés de terrains plus anciens où le Crétacé est prédominant.</w:t>
      </w:r>
    </w:p>
    <w:p>
      <w:pPr>
        <w:pStyle w:val="10"/>
        <w:autoSpaceDE w:val="0"/>
        <w:autoSpaceDN w:val="0"/>
        <w:adjustRightInd w:val="0"/>
        <w:spacing w:after="0" w:line="360" w:lineRule="auto"/>
        <w:ind w:left="0" w:firstLine="284"/>
        <w:rPr>
          <w:rFonts w:ascii="Times New Roman" w:hAnsi="Times New Roman" w:cs="Times New Roman"/>
          <w:sz w:val="24"/>
          <w:szCs w:val="24"/>
        </w:rPr>
      </w:pPr>
      <w:r>
        <w:rPr>
          <w:rFonts w:asciiTheme="majorBidi" w:hAnsiTheme="majorBidi" w:cstheme="majorBidi"/>
          <w:sz w:val="24"/>
          <w:szCs w:val="24"/>
        </w:rPr>
        <w:t>L’évolution tectonique du bassin au cours du Néogène et du quaternaire fait suite à une tectonique tangentielle d’âge Miocène moyen, d’après Perroddon 1957, le bassin du Chélif fonctionne en graben et les massifs bordiers en horst</w:t>
      </w:r>
      <w:r>
        <w:rPr>
          <w:rFonts w:ascii="Times New Roman" w:hAnsi="Times New Roman" w:cs="Times New Roman"/>
          <w:sz w:val="24"/>
          <w:szCs w:val="24"/>
        </w:rPr>
        <w:t>.</w:t>
      </w:r>
    </w:p>
    <w:p>
      <w:pPr>
        <w:pStyle w:val="10"/>
        <w:autoSpaceDE w:val="0"/>
        <w:autoSpaceDN w:val="0"/>
        <w:adjustRightInd w:val="0"/>
        <w:spacing w:after="0" w:line="360" w:lineRule="auto"/>
        <w:ind w:left="0" w:firstLine="284"/>
        <w:rPr>
          <w:rFonts w:ascii="Times New Roman" w:hAnsi="Times New Roman" w:cs="Times New Roman"/>
          <w:sz w:val="24"/>
          <w:szCs w:val="24"/>
        </w:rPr>
      </w:pPr>
      <w:r>
        <w:rPr>
          <w:rFonts w:ascii="Times New Roman" w:hAnsi="Times New Roman" w:cs="Times New Roman"/>
          <w:sz w:val="24"/>
          <w:szCs w:val="24"/>
        </w:rPr>
        <w:t>La bordure septentrionale correspond à la côte méditerranéenne, la limite méridionale correspond au flanc nord des massifs de Beni Chougrane et Ouarsenis.</w:t>
      </w:r>
    </w:p>
    <w:p>
      <w:pPr>
        <w:pStyle w:val="10"/>
        <w:autoSpaceDE w:val="0"/>
        <w:autoSpaceDN w:val="0"/>
        <w:adjustRightInd w:val="0"/>
        <w:spacing w:after="0" w:line="360" w:lineRule="auto"/>
        <w:ind w:left="360" w:firstLine="284"/>
        <w:rPr>
          <w:rFonts w:ascii="Times New Roman" w:hAnsi="Times New Roman" w:cs="Times New Roman"/>
          <w:sz w:val="24"/>
          <w:szCs w:val="24"/>
        </w:rPr>
      </w:pPr>
    </w:p>
    <w:p>
      <w:pPr>
        <w:pStyle w:val="10"/>
        <w:autoSpaceDE w:val="0"/>
        <w:autoSpaceDN w:val="0"/>
        <w:adjustRightInd w:val="0"/>
        <w:spacing w:after="0" w:line="360" w:lineRule="auto"/>
        <w:ind w:left="360"/>
        <w:rPr>
          <w:rFonts w:ascii="Times New Roman" w:hAnsi="Times New Roman" w:cs="Times New Roman"/>
          <w:sz w:val="24"/>
          <w:szCs w:val="24"/>
        </w:rPr>
      </w:pPr>
    </w:p>
    <w:p>
      <w:pPr>
        <w:pStyle w:val="10"/>
        <w:autoSpaceDE w:val="0"/>
        <w:autoSpaceDN w:val="0"/>
        <w:adjustRightInd w:val="0"/>
        <w:spacing w:after="0" w:line="360" w:lineRule="auto"/>
        <w:ind w:left="360"/>
        <w:rPr>
          <w:rFonts w:ascii="Times New Roman" w:hAnsi="Times New Roman" w:cs="Times New Roman"/>
          <w:sz w:val="24"/>
          <w:szCs w:val="24"/>
        </w:rPr>
      </w:pPr>
    </w:p>
    <w:p>
      <w:pPr>
        <w:pStyle w:val="10"/>
        <w:autoSpaceDE w:val="0"/>
        <w:autoSpaceDN w:val="0"/>
        <w:adjustRightInd w:val="0"/>
        <w:spacing w:after="0" w:line="360" w:lineRule="auto"/>
        <w:ind w:left="360"/>
        <w:rPr>
          <w:rFonts w:asciiTheme="majorBidi" w:hAnsiTheme="majorBidi" w:cstheme="majorBidi"/>
          <w:sz w:val="24"/>
          <w:szCs w:val="24"/>
        </w:rPr>
      </w:pPr>
    </w:p>
    <w:p>
      <w:pPr>
        <w:tabs>
          <w:tab w:val="left" w:pos="1350"/>
        </w:tabs>
        <w:spacing w:before="100" w:beforeAutospacing="1" w:after="100" w:afterAutospacing="1" w:line="360" w:lineRule="auto"/>
        <w:ind w:firstLine="567"/>
        <w:jc w:val="both"/>
        <w:rPr>
          <w:rFonts w:asciiTheme="majorBidi" w:hAnsiTheme="majorBidi" w:cstheme="majorBidi"/>
          <w:sz w:val="24"/>
          <w:szCs w:val="24"/>
        </w:rPr>
      </w:pPr>
    </w:p>
    <w:p>
      <w:pPr>
        <w:tabs>
          <w:tab w:val="left" w:pos="1350"/>
        </w:tabs>
        <w:spacing w:before="100" w:beforeAutospacing="1" w:after="100" w:afterAutospacing="1" w:line="360" w:lineRule="auto"/>
        <w:ind w:firstLine="567"/>
        <w:jc w:val="both"/>
        <w:rPr>
          <w:rFonts w:asciiTheme="majorBidi" w:hAnsiTheme="majorBidi" w:cstheme="majorBidi"/>
          <w:sz w:val="24"/>
          <w:szCs w:val="24"/>
        </w:rPr>
      </w:pPr>
    </w:p>
    <w:p>
      <w:pPr>
        <w:tabs>
          <w:tab w:val="left" w:pos="1350"/>
        </w:tabs>
        <w:spacing w:before="100" w:beforeAutospacing="1" w:after="100" w:afterAutospacing="1" w:line="360" w:lineRule="auto"/>
        <w:jc w:val="center"/>
        <w:rPr>
          <w:rFonts w:asciiTheme="majorBidi" w:hAnsiTheme="majorBidi" w:cstheme="majorBidi"/>
          <w:sz w:val="24"/>
          <w:szCs w:val="24"/>
        </w:rPr>
      </w:pPr>
      <w:r>
        <w:rPr>
          <w:rFonts w:asciiTheme="majorBidi" w:hAnsiTheme="majorBidi" w:cstheme="majorBidi"/>
          <w:sz w:val="16"/>
          <w:szCs w:val="16"/>
          <w:lang w:eastAsia="fr-FR"/>
        </w:rPr>
        <w:pict>
          <v:shape id="_x0000_s2058" o:spid="_x0000_s2058" o:spt="32" type="#_x0000_t32" style="position:absolute;left:0pt;margin-left:111.1pt;margin-top:313.75pt;height:10.35pt;width:12.7pt;z-index:251672576;mso-width-relative:page;mso-height-relative:page;" o:connectortype="straight" filled="f" coordsize="21600,21600">
            <v:path arrowok="t"/>
            <v:fill on="f" focussize="0,0"/>
            <v:stroke endarrow="block"/>
            <v:imagedata o:title=""/>
            <o:lock v:ext="edit"/>
          </v:shape>
        </w:pict>
      </w:r>
      <w:r>
        <w:rPr>
          <w:rFonts w:asciiTheme="majorBidi" w:hAnsiTheme="majorBidi" w:cstheme="majorBidi"/>
          <w:sz w:val="16"/>
          <w:szCs w:val="16"/>
          <w:lang w:eastAsia="fr-FR"/>
        </w:rPr>
        <w:pict>
          <v:shape id="_x0000_s2059" o:spid="_x0000_s2059" o:spt="202" type="#_x0000_t202" style="position:absolute;left:0pt;margin-left:118.6pt;margin-top:313.75pt;height:23.6pt;width:72pt;z-index:251671552;mso-width-relative:page;mso-height-relative:page;" filled="f" stroked="f" coordsize="21600,21600">
            <v:path/>
            <v:fill on="f" focussize="0,0"/>
            <v:stroke on="f" joinstyle="miter"/>
            <v:imagedata o:title=""/>
            <o:lock v:ext="edit"/>
            <v:textbox>
              <w:txbxContent>
                <w:p>
                  <w:pPr>
                    <w:rPr>
                      <w:b/>
                      <w:bCs/>
                    </w:rPr>
                  </w:pPr>
                  <w:r>
                    <w:rPr>
                      <w:b/>
                      <w:bCs/>
                    </w:rPr>
                    <w:t>Acheacha</w:t>
                  </w:r>
                </w:p>
              </w:txbxContent>
            </v:textbox>
          </v:shape>
        </w:pict>
      </w:r>
      <w:r>
        <w:rPr>
          <w:rFonts w:asciiTheme="majorBidi" w:hAnsiTheme="majorBidi" w:cstheme="majorBidi"/>
          <w:sz w:val="16"/>
          <w:szCs w:val="16"/>
          <w:lang w:eastAsia="fr-FR"/>
        </w:rPr>
        <w:pict>
          <v:rect id="_x0000_s2060" o:spid="_x0000_s2060" o:spt="1" style="position:absolute;left:0pt;margin-left:85.75pt;margin-top:305.7pt;height:27.65pt;width:25.35pt;z-index:251670528;mso-width-relative:page;mso-height-relative:page;" fillcolor="#FFFFFF" filled="f" stroked="t" coordsize="21600,21600">
            <v:path/>
            <v:fill on="f" focussize="0,0"/>
            <v:stroke weight="2.5pt" color="#000000"/>
            <v:imagedata o:title=""/>
            <o:lock v:ext="edit"/>
            <v:textbox>
              <w:txbxContent>
                <w:p/>
              </w:txbxContent>
            </v:textbox>
          </v:rect>
        </w:pict>
      </w:r>
      <w:r>
        <w:rPr>
          <w:rFonts w:asciiTheme="majorBidi" w:hAnsiTheme="majorBidi" w:cstheme="majorBidi"/>
          <w:sz w:val="24"/>
          <w:szCs w:val="24"/>
          <w:lang w:eastAsia="fr-FR"/>
        </w:rPr>
        <w:drawing>
          <wp:inline distT="0" distB="0" distL="0" distR="0">
            <wp:extent cx="5772150" cy="7505700"/>
            <wp:effectExtent l="0" t="0" r="6350" b="0"/>
            <wp:docPr id="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noChangeArrowheads="1"/>
                    </pic:cNvPicPr>
                  </pic:nvPicPr>
                  <pic:blipFill>
                    <a:blip r:embed="rId11"/>
                    <a:srcRect/>
                    <a:stretch>
                      <a:fillRect/>
                    </a:stretch>
                  </pic:blipFill>
                  <pic:spPr>
                    <a:xfrm>
                      <a:off x="0" y="0"/>
                      <a:ext cx="5772150" cy="7505700"/>
                    </a:xfrm>
                    <a:prstGeom prst="rect">
                      <a:avLst/>
                    </a:prstGeom>
                    <a:noFill/>
                    <a:ln w="9525">
                      <a:noFill/>
                      <a:miter lim="800000"/>
                      <a:headEnd/>
                      <a:tailEnd/>
                    </a:ln>
                  </pic:spPr>
                </pic:pic>
              </a:graphicData>
            </a:graphic>
          </wp:inline>
        </w:drawing>
      </w:r>
    </w:p>
    <w:p>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Fig n°04 : Carte géologique et localisation  géographique de la zone d’étude du bassin, extrait de la carte géologique d’Algérie, 1952 de Service de la Carte Géologique</w:t>
      </w:r>
    </w:p>
    <w:p>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i/>
          <w:iCs/>
          <w:sz w:val="24"/>
          <w:szCs w:val="24"/>
        </w:rPr>
        <w:t>(M. Dalloni et al)</w:t>
      </w:r>
    </w:p>
    <w:p>
      <w:pPr>
        <w:jc w:val="center"/>
        <w:rPr>
          <w:rFonts w:asciiTheme="majorBidi" w:hAnsiTheme="majorBidi" w:cstheme="majorBidi"/>
          <w:sz w:val="24"/>
          <w:szCs w:val="24"/>
        </w:rPr>
      </w:pPr>
    </w:p>
    <w:p>
      <w:pPr>
        <w:tabs>
          <w:tab w:val="left" w:pos="1350"/>
        </w:tabs>
        <w:spacing w:before="100" w:beforeAutospacing="1" w:after="100" w:afterAutospacing="1" w:line="360" w:lineRule="auto"/>
        <w:jc w:val="both"/>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5758815" cy="8172450"/>
            <wp:effectExtent l="0" t="0" r="6985" b="6350"/>
            <wp:docPr id="1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noChangeArrowheads="1"/>
                    </pic:cNvPicPr>
                  </pic:nvPicPr>
                  <pic:blipFill>
                    <a:blip r:embed="rId12"/>
                    <a:srcRect/>
                    <a:stretch>
                      <a:fillRect/>
                    </a:stretch>
                  </pic:blipFill>
                  <pic:spPr>
                    <a:xfrm>
                      <a:off x="0" y="0"/>
                      <a:ext cx="5760720" cy="8174607"/>
                    </a:xfrm>
                    <a:prstGeom prst="rect">
                      <a:avLst/>
                    </a:prstGeom>
                    <a:noFill/>
                    <a:ln w="9525">
                      <a:noFill/>
                      <a:miter lim="800000"/>
                      <a:headEnd/>
                      <a:tailEnd/>
                    </a:ln>
                  </pic:spPr>
                </pic:pic>
              </a:graphicData>
            </a:graphic>
          </wp:inline>
        </w:drawing>
      </w:r>
    </w:p>
    <w:p>
      <w:pPr>
        <w:tabs>
          <w:tab w:val="left" w:pos="1350"/>
        </w:tabs>
        <w:spacing w:before="100" w:beforeAutospacing="1" w:after="100" w:afterAutospacing="1" w:line="360" w:lineRule="auto"/>
        <w:ind w:firstLine="567"/>
        <w:jc w:val="center"/>
        <w:rPr>
          <w:rFonts w:asciiTheme="majorBidi" w:hAnsiTheme="majorBidi" w:cstheme="majorBidi"/>
          <w:sz w:val="24"/>
          <w:szCs w:val="24"/>
        </w:rPr>
      </w:pPr>
      <w:r>
        <w:rPr>
          <w:rFonts w:asciiTheme="majorBidi" w:hAnsiTheme="majorBidi" w:cstheme="majorBidi"/>
          <w:sz w:val="24"/>
          <w:szCs w:val="24"/>
        </w:rPr>
        <w:t>Fig n°05 : Légende de la carte géologique précédente</w:t>
      </w:r>
    </w:p>
    <w:p>
      <w:pPr>
        <w:tabs>
          <w:tab w:val="left" w:pos="1350"/>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Le bassin côtier du Dahra ne forme pas un bassin unique mais se compose de plusieurs sous bassins individuels, dont les plus importants, du point de vue pluviométrique, sont le bassin d’Oued Damous, le bassin d’Oued Roumman et le bassin d’Oued Kramis.</w:t>
      </w:r>
    </w:p>
    <w:p>
      <w:pPr>
        <w:tabs>
          <w:tab w:val="left" w:pos="1350"/>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L’étude géologique nous permet de connaître les structures géologiques, leurs âges, ainsi que la nature lithologique des terrains. Pour notre zone d’étude et à partir des travaux de</w:t>
      </w:r>
      <w:r>
        <w:rPr>
          <w:rFonts w:asciiTheme="majorBidi" w:hAnsiTheme="majorBidi" w:cstheme="majorBidi"/>
          <w:b/>
          <w:bCs/>
          <w:sz w:val="24"/>
          <w:szCs w:val="24"/>
        </w:rPr>
        <w:t xml:space="preserve"> </w:t>
      </w:r>
      <w:r>
        <w:rPr>
          <w:rFonts w:asciiTheme="majorBidi" w:hAnsiTheme="majorBidi" w:cstheme="majorBidi"/>
          <w:sz w:val="24"/>
          <w:szCs w:val="24"/>
        </w:rPr>
        <w:t>Perrodon (1957)</w:t>
      </w:r>
      <w:r>
        <w:rPr>
          <w:rFonts w:asciiTheme="majorBidi" w:hAnsiTheme="majorBidi" w:cstheme="majorBidi"/>
          <w:b/>
          <w:bCs/>
          <w:sz w:val="24"/>
          <w:szCs w:val="24"/>
        </w:rPr>
        <w:t xml:space="preserve"> </w:t>
      </w:r>
      <w:r>
        <w:rPr>
          <w:rFonts w:asciiTheme="majorBidi" w:hAnsiTheme="majorBidi" w:cstheme="majorBidi"/>
          <w:sz w:val="24"/>
          <w:szCs w:val="24"/>
        </w:rPr>
        <w:t>de bas en haut il y a la succession lithologique suivante :</w:t>
      </w:r>
    </w:p>
    <w:p>
      <w:pPr>
        <w:pStyle w:val="10"/>
        <w:numPr>
          <w:ilvl w:val="0"/>
          <w:numId w:val="15"/>
        </w:numPr>
        <w:tabs>
          <w:tab w:val="left" w:pos="1350"/>
        </w:tabs>
        <w:spacing w:after="0" w:line="360" w:lineRule="auto"/>
        <w:ind w:firstLine="284"/>
        <w:rPr>
          <w:rFonts w:asciiTheme="majorBidi" w:hAnsiTheme="majorBidi" w:cstheme="majorBidi"/>
          <w:b/>
          <w:bCs/>
          <w:sz w:val="24"/>
          <w:szCs w:val="24"/>
        </w:rPr>
      </w:pPr>
      <w:r>
        <w:rPr>
          <w:rFonts w:asciiTheme="majorBidi" w:hAnsiTheme="majorBidi" w:cstheme="majorBidi"/>
          <w:b/>
          <w:bCs/>
          <w:sz w:val="24"/>
          <w:szCs w:val="24"/>
        </w:rPr>
        <w:t>Le Trias:</w:t>
      </w:r>
    </w:p>
    <w:p>
      <w:pPr>
        <w:tabs>
          <w:tab w:val="left" w:pos="1350"/>
        </w:tabs>
        <w:spacing w:after="0" w:line="360" w:lineRule="auto"/>
        <w:ind w:firstLine="284"/>
        <w:rPr>
          <w:rFonts w:asciiTheme="majorBidi" w:hAnsiTheme="majorBidi" w:cstheme="majorBidi"/>
          <w:b/>
          <w:bCs/>
          <w:sz w:val="24"/>
          <w:szCs w:val="24"/>
        </w:rPr>
      </w:pPr>
      <w:r>
        <w:rPr>
          <w:rFonts w:asciiTheme="majorBidi" w:hAnsiTheme="majorBidi" w:cstheme="majorBidi"/>
          <w:sz w:val="24"/>
          <w:szCs w:val="24"/>
        </w:rPr>
        <w:t>Il est constitué d’argile ou de marnes plus ou moins gypseuses et salées.</w:t>
      </w:r>
    </w:p>
    <w:p>
      <w:pPr>
        <w:pStyle w:val="10"/>
        <w:numPr>
          <w:ilvl w:val="0"/>
          <w:numId w:val="15"/>
        </w:numPr>
        <w:tabs>
          <w:tab w:val="left" w:pos="1350"/>
        </w:tabs>
        <w:spacing w:after="0" w:line="360" w:lineRule="auto"/>
        <w:ind w:firstLine="284"/>
        <w:rPr>
          <w:rFonts w:asciiTheme="majorBidi" w:hAnsiTheme="majorBidi" w:cstheme="majorBidi"/>
          <w:b/>
          <w:bCs/>
          <w:sz w:val="24"/>
          <w:szCs w:val="24"/>
        </w:rPr>
      </w:pPr>
      <w:r>
        <w:rPr>
          <w:rFonts w:asciiTheme="majorBidi" w:hAnsiTheme="majorBidi" w:cstheme="majorBidi"/>
          <w:b/>
          <w:bCs/>
          <w:sz w:val="24"/>
          <w:szCs w:val="24"/>
        </w:rPr>
        <w:t>Le crétacé:</w:t>
      </w:r>
    </w:p>
    <w:p>
      <w:pPr>
        <w:tabs>
          <w:tab w:val="left" w:pos="1350"/>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Il est formé par des marnes et des argiles avec des couches de grés quartzitiques et des nodules ferrugineuses.</w:t>
      </w:r>
    </w:p>
    <w:p>
      <w:pPr>
        <w:pStyle w:val="10"/>
        <w:numPr>
          <w:ilvl w:val="0"/>
          <w:numId w:val="15"/>
        </w:numPr>
        <w:tabs>
          <w:tab w:val="left" w:pos="1350"/>
        </w:tabs>
        <w:spacing w:after="0" w:line="360" w:lineRule="auto"/>
        <w:ind w:firstLine="284"/>
        <w:jc w:val="both"/>
        <w:rPr>
          <w:rFonts w:asciiTheme="majorBidi" w:hAnsiTheme="majorBidi" w:cstheme="majorBidi"/>
          <w:sz w:val="24"/>
          <w:szCs w:val="24"/>
        </w:rPr>
      </w:pPr>
      <w:r>
        <w:rPr>
          <w:rFonts w:asciiTheme="majorBidi" w:hAnsiTheme="majorBidi" w:cstheme="majorBidi"/>
          <w:b/>
          <w:bCs/>
          <w:sz w:val="24"/>
          <w:szCs w:val="24"/>
        </w:rPr>
        <w:t>Le Miocène:</w:t>
      </w:r>
    </w:p>
    <w:p>
      <w:pPr>
        <w:tabs>
          <w:tab w:val="left" w:pos="1350"/>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Le miocène sublittoraux de l’Algérie occidentale forme un cycle sédimentaire complet qui se divise en deux ensembles : Miocène inférieur et Miocène supérieur. </w:t>
      </w:r>
    </w:p>
    <w:p>
      <w:pPr>
        <w:pStyle w:val="10"/>
        <w:numPr>
          <w:ilvl w:val="0"/>
          <w:numId w:val="14"/>
        </w:numPr>
        <w:tabs>
          <w:tab w:val="left" w:pos="135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Miocène inferieur:</w:t>
      </w:r>
    </w:p>
    <w:p>
      <w:pPr>
        <w:tabs>
          <w:tab w:val="left" w:pos="1350"/>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Caractérisé par une vaste transgression touchant tout le domaine Algérien il est représenté par des marnes bleues d’une épaisseur de plusieurs milliers de mètres,  ces marnes passent latéralement et verticalement, à des grés marneux ; à des marnes bariolées ou à des conglomérats marins ou continentaux.</w:t>
      </w:r>
    </w:p>
    <w:p>
      <w:pPr>
        <w:pStyle w:val="10"/>
        <w:numPr>
          <w:ilvl w:val="0"/>
          <w:numId w:val="14"/>
        </w:numPr>
        <w:tabs>
          <w:tab w:val="left" w:pos="135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Miocène supérieure</w:t>
      </w:r>
    </w:p>
    <w:p>
      <w:pPr>
        <w:tabs>
          <w:tab w:val="left" w:pos="1350"/>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 Ce cycle est précédé d’une phase d’érosion active accompagnée de l’accumulation de séries continentales puis la transgression messénienne se développe elle n’envahit que très  progressivement les horsts littoraux ainsi que les monts de Tessala. En général le Miocène comprend les formations suivantes :</w:t>
      </w:r>
    </w:p>
    <w:p>
      <w:pPr>
        <w:pStyle w:val="10"/>
        <w:numPr>
          <w:ilvl w:val="0"/>
          <w:numId w:val="16"/>
        </w:numPr>
        <w:tabs>
          <w:tab w:val="left" w:pos="1350"/>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Conglomérats grossiers mal classés. </w:t>
      </w:r>
    </w:p>
    <w:p>
      <w:pPr>
        <w:pStyle w:val="10"/>
        <w:numPr>
          <w:ilvl w:val="0"/>
          <w:numId w:val="16"/>
        </w:numPr>
        <w:tabs>
          <w:tab w:val="left" w:pos="1350"/>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Marnes noire.</w:t>
      </w:r>
    </w:p>
    <w:p>
      <w:pPr>
        <w:pStyle w:val="10"/>
        <w:numPr>
          <w:ilvl w:val="0"/>
          <w:numId w:val="16"/>
        </w:numPr>
        <w:tabs>
          <w:tab w:val="left" w:pos="1350"/>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Marnes franchement marines  (Belkebir, 1986)</w:t>
      </w:r>
    </w:p>
    <w:p>
      <w:pPr>
        <w:pStyle w:val="10"/>
        <w:numPr>
          <w:ilvl w:val="0"/>
          <w:numId w:val="15"/>
        </w:numPr>
        <w:tabs>
          <w:tab w:val="left" w:pos="1350"/>
        </w:tabs>
        <w:spacing w:after="0" w:line="360" w:lineRule="auto"/>
        <w:ind w:firstLine="284"/>
        <w:rPr>
          <w:rFonts w:asciiTheme="majorBidi" w:hAnsiTheme="majorBidi" w:cstheme="majorBidi"/>
          <w:b/>
          <w:bCs/>
          <w:sz w:val="24"/>
          <w:szCs w:val="24"/>
        </w:rPr>
      </w:pPr>
      <w:r>
        <w:rPr>
          <w:rFonts w:asciiTheme="majorBidi" w:hAnsiTheme="majorBidi" w:cstheme="majorBidi"/>
          <w:b/>
          <w:bCs/>
          <w:sz w:val="24"/>
          <w:szCs w:val="24"/>
        </w:rPr>
        <w:t>Le Quaternaire :</w:t>
      </w:r>
    </w:p>
    <w:p>
      <w:pPr>
        <w:pStyle w:val="10"/>
        <w:tabs>
          <w:tab w:val="left" w:pos="1350"/>
        </w:tabs>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Cette formation est constituée par :</w:t>
      </w:r>
    </w:p>
    <w:p>
      <w:pPr>
        <w:pStyle w:val="10"/>
        <w:tabs>
          <w:tab w:val="left" w:pos="1350"/>
        </w:tabs>
        <w:spacing w:after="0" w:line="360" w:lineRule="auto"/>
        <w:ind w:left="0" w:firstLine="284"/>
        <w:rPr>
          <w:rFonts w:asciiTheme="majorBidi" w:hAnsiTheme="majorBidi" w:cstheme="majorBidi"/>
          <w:sz w:val="24"/>
          <w:szCs w:val="24"/>
        </w:rPr>
      </w:pPr>
      <w:r>
        <w:rPr>
          <w:rFonts w:asciiTheme="majorBidi" w:hAnsiTheme="majorBidi" w:cstheme="majorBidi"/>
          <w:b/>
          <w:bCs/>
          <w:sz w:val="24"/>
          <w:szCs w:val="24"/>
        </w:rPr>
        <w:t>a- Grès Calabrien :</w:t>
      </w:r>
      <w:r>
        <w:rPr>
          <w:rFonts w:asciiTheme="majorBidi" w:hAnsiTheme="majorBidi" w:cstheme="majorBidi"/>
          <w:sz w:val="24"/>
          <w:szCs w:val="24"/>
        </w:rPr>
        <w:t xml:space="preserve"> les grès Calabrien ne sont nullement une formation uniforme ; on trouve non seulement un grès pur, fin à moyen de couleur rougeâtre à brune mais encore un grès marneux et calcaire de couleur grise. La composition lithologique extrême est le calcaire</w:t>
      </w:r>
    </w:p>
    <w:p>
      <w:pPr>
        <w:pStyle w:val="10"/>
        <w:tabs>
          <w:tab w:val="left" w:pos="1350"/>
        </w:tabs>
        <w:spacing w:after="0" w:line="360" w:lineRule="auto"/>
        <w:ind w:left="0" w:firstLine="284"/>
        <w:rPr>
          <w:rFonts w:asciiTheme="majorBidi" w:hAnsiTheme="majorBidi" w:cstheme="majorBidi"/>
          <w:sz w:val="24"/>
          <w:szCs w:val="24"/>
        </w:rPr>
      </w:pPr>
      <w:r>
        <w:rPr>
          <w:rFonts w:asciiTheme="majorBidi" w:hAnsiTheme="majorBidi" w:cstheme="majorBidi"/>
          <w:b/>
          <w:bCs/>
          <w:sz w:val="24"/>
          <w:szCs w:val="24"/>
        </w:rPr>
        <w:t>b- Formation dunaire</w:t>
      </w:r>
      <w:r>
        <w:rPr>
          <w:rFonts w:asciiTheme="majorBidi" w:hAnsiTheme="majorBidi" w:cstheme="majorBidi"/>
          <w:sz w:val="24"/>
          <w:szCs w:val="24"/>
        </w:rPr>
        <w:t xml:space="preserve"> : après les dépôts marins de vaste formation sableuse se forment à partir des alluvions.</w:t>
      </w:r>
    </w:p>
    <w:p>
      <w:pPr>
        <w:tabs>
          <w:tab w:val="left" w:pos="1350"/>
        </w:tabs>
        <w:spacing w:line="360" w:lineRule="auto"/>
        <w:jc w:val="both"/>
        <w:rPr>
          <w:rFonts w:asciiTheme="majorBidi" w:hAnsiTheme="majorBidi" w:cstheme="majorBidi"/>
          <w:b/>
          <w:bCs/>
          <w:sz w:val="24"/>
          <w:szCs w:val="24"/>
          <w:highlight w:val="yellow"/>
        </w:rPr>
      </w:pPr>
      <w:r>
        <w:rPr>
          <w:rFonts w:asciiTheme="majorBidi" w:hAnsiTheme="majorBidi" w:cstheme="majorBidi"/>
          <w:b/>
          <w:bCs/>
          <w:sz w:val="24"/>
          <w:szCs w:val="24"/>
          <w:lang w:eastAsia="fr-FR"/>
        </w:rPr>
        <w:drawing>
          <wp:inline distT="0" distB="0" distL="0" distR="0">
            <wp:extent cx="5720715" cy="7124700"/>
            <wp:effectExtent l="53975" t="53975" r="118110" b="1111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720911" cy="7124944"/>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hd w:val="clear" w:color="auto" w:fill="FFFFFF" w:themeFill="background1"/>
        <w:tabs>
          <w:tab w:val="left" w:pos="1350"/>
        </w:tabs>
        <w:spacing w:line="360" w:lineRule="auto"/>
        <w:jc w:val="center"/>
        <w:rPr>
          <w:rFonts w:asciiTheme="majorBidi" w:hAnsiTheme="majorBidi" w:cstheme="majorBidi"/>
          <w:sz w:val="24"/>
          <w:szCs w:val="24"/>
        </w:rPr>
      </w:pPr>
      <w:r>
        <w:rPr>
          <w:rFonts w:asciiTheme="majorBidi" w:hAnsiTheme="majorBidi" w:cstheme="majorBidi"/>
          <w:sz w:val="24"/>
          <w:szCs w:val="24"/>
        </w:rPr>
        <w:t>Fig n° 06: Log litho-stratigraphique général de la région de Mostaganem d’après Perrodon, 1957, (in Djelti, 2007).</w:t>
      </w:r>
    </w:p>
    <w:p>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br w:type="page"/>
      </w:r>
    </w:p>
    <w:p>
      <w:pPr>
        <w:tabs>
          <w:tab w:val="left" w:pos="1350"/>
        </w:tabs>
        <w:spacing w:after="0" w:line="360" w:lineRule="auto"/>
        <w:rPr>
          <w:rFonts w:asciiTheme="majorBidi" w:hAnsiTheme="majorBidi" w:cstheme="majorBidi"/>
          <w:b/>
          <w:bCs/>
          <w:sz w:val="24"/>
          <w:szCs w:val="24"/>
        </w:rPr>
      </w:pPr>
      <w:r>
        <w:rPr>
          <w:rFonts w:asciiTheme="majorBidi" w:hAnsiTheme="majorBidi" w:cstheme="majorBidi"/>
          <w:b/>
          <w:bCs/>
          <w:sz w:val="24"/>
          <w:szCs w:val="24"/>
        </w:rPr>
        <w:t>3.2.  Géologique locale :</w:t>
      </w:r>
      <w:r>
        <w:rPr>
          <w:rFonts w:asciiTheme="majorBidi" w:hAnsiTheme="majorBidi" w:cstheme="majorBidi"/>
          <w:sz w:val="24"/>
          <w:szCs w:val="24"/>
        </w:rPr>
        <w:t>( figure 7)</w:t>
      </w:r>
    </w:p>
    <w:p>
      <w:pPr>
        <w:pStyle w:val="10"/>
        <w:tabs>
          <w:tab w:val="left" w:pos="1350"/>
        </w:tabs>
        <w:spacing w:after="0" w:line="360" w:lineRule="auto"/>
        <w:ind w:left="0" w:right="283" w:firstLine="284"/>
        <w:rPr>
          <w:rFonts w:asciiTheme="majorBidi" w:hAnsiTheme="majorBidi" w:cstheme="majorBidi"/>
          <w:sz w:val="24"/>
          <w:szCs w:val="24"/>
        </w:rPr>
      </w:pPr>
      <w:r>
        <w:rPr>
          <w:rFonts w:asciiTheme="majorBidi" w:hAnsiTheme="majorBidi" w:cstheme="majorBidi"/>
          <w:sz w:val="24"/>
          <w:szCs w:val="24"/>
        </w:rPr>
        <w:t>Le site du barrage est constitué de roches sédimentaires, des marnes, des pélites et des argilites qui sont faiblement cimentées, fortement fissurées et broyées dans la plut part des cas.</w:t>
      </w:r>
    </w:p>
    <w:p>
      <w:pPr>
        <w:pStyle w:val="10"/>
        <w:tabs>
          <w:tab w:val="left" w:pos="1350"/>
        </w:tabs>
        <w:spacing w:line="360" w:lineRule="auto"/>
        <w:ind w:left="0" w:right="142"/>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5760720" cy="5088890"/>
            <wp:effectExtent l="53975" t="53975" r="116205" b="114935"/>
            <wp:docPr id="1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760720" cy="5088973"/>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tabs>
          <w:tab w:val="left" w:pos="1350"/>
        </w:tabs>
        <w:spacing w:line="360" w:lineRule="auto"/>
        <w:jc w:val="center"/>
        <w:rPr>
          <w:rFonts w:asciiTheme="majorBidi" w:hAnsiTheme="majorBidi" w:cstheme="majorBidi"/>
          <w:sz w:val="24"/>
          <w:szCs w:val="24"/>
        </w:rPr>
      </w:pPr>
      <w:r>
        <w:rPr>
          <w:rFonts w:asciiTheme="majorBidi" w:hAnsiTheme="majorBidi" w:cstheme="majorBidi"/>
          <w:sz w:val="24"/>
          <w:szCs w:val="24"/>
        </w:rPr>
        <w:t>Fig n°07 :   carte géologique de plateaux d’Acheacha (Belkbir, 1986).</w:t>
      </w:r>
    </w:p>
    <w:p>
      <w:pPr>
        <w:pStyle w:val="10"/>
        <w:tabs>
          <w:tab w:val="left" w:pos="1350"/>
        </w:tabs>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 xml:space="preserve">La région du site du barrage est constituée par des sédiments du Miocène supérieur, du pliocène et par des dépôts quaternaires. Les sédiments du Miocène supérieur sont représentés par des argilites, des marnes et des pélites. </w:t>
      </w:r>
    </w:p>
    <w:p>
      <w:pPr>
        <w:pStyle w:val="10"/>
        <w:tabs>
          <w:tab w:val="left" w:pos="1350"/>
        </w:tabs>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Par contre, le pliocène est représenté par des galets dans une matrice argilo –limoneuse à marno –pélitique. Et par des grés et des brèches conglomérats, avec une cimentation argilo-pélitique très faible.</w:t>
      </w:r>
    </w:p>
    <w:p>
      <w:pPr>
        <w:tabs>
          <w:tab w:val="left" w:pos="1350"/>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La rive gauche du site est constituée essentiellement de marne, la rive droite d’argilites et au niveau du col topographique de marnes .Les sédiments du pliocène, les marnes et les argilites du Miocène supérieur constituent la plaine d’oued kramis.</w:t>
      </w:r>
    </w:p>
    <w:p>
      <w:pPr>
        <w:tabs>
          <w:tab w:val="left" w:pos="1350"/>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Les différentes roches, citées ci-dessus, sont tectonisées sur les deux rives .Les roches du substratum sont recouvertes par des colluvions, et tandis que les alluvions recouvre la plaine d’oued kramis.</w:t>
      </w:r>
    </w:p>
    <w:p>
      <w:pPr>
        <w:tabs>
          <w:tab w:val="left" w:pos="1350"/>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réparties en deux horizons inferieur constitué d’alluvions grossières, et supérieur par des argiles, des limons et des sables .Au niveau de la rive gauche, les dépôts colluvion aires et les marnes sous-jacentes sont affectés par des glissements. Les formations colluvionnaires sur le versant gauche ont tendance à glisser.</w:t>
      </w:r>
    </w:p>
    <w:p>
      <w:pPr>
        <w:tabs>
          <w:tab w:val="left" w:pos="1350"/>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Les dépôts colluvionaires et les masses de glissements, représentés par des argiles, des limons, des galets et des blocs dans une matrice argilo- limoneuse à argilo-marneuse, sont entièrement hétérogènes.</w:t>
      </w:r>
    </w:p>
    <w:p>
      <w:pPr>
        <w:tabs>
          <w:tab w:val="left" w:pos="1350"/>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Les dépôts de l’horizon inférieur du complexe alluvionnaire, représentés par des galets, des graviers et des blocs avec un remplissage de sables en état naturel sont normalement consolidés. </w:t>
      </w:r>
    </w:p>
    <w:p>
      <w:pPr>
        <w:tabs>
          <w:tab w:val="left" w:pos="1350"/>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Les roches du Miocène supérieur constituées par des argilites, des marnes et des pélites, et des sédiments du pliocène, en état naturel de gisement dans le massif rocheux du site du barrage, présentent des roches très fracturées. (Benahmed H 2015).</w:t>
      </w:r>
    </w:p>
    <w:p>
      <w:pPr>
        <w:tabs>
          <w:tab w:val="left" w:pos="1350"/>
        </w:tabs>
        <w:spacing w:after="0" w:line="360" w:lineRule="auto"/>
        <w:rPr>
          <w:rFonts w:ascii="TimesNewRoman,Bold" w:hAnsi="TimesNewRoman,Bold" w:cs="TimesNewRoman,Bold"/>
          <w:sz w:val="24"/>
          <w:szCs w:val="24"/>
        </w:rPr>
      </w:pPr>
      <w:r>
        <w:rPr>
          <w:rFonts w:ascii="TimesNewRoman,Bold" w:hAnsi="TimesNewRoman,Bold" w:cs="TimesNewRoman,Bold"/>
          <w:b/>
          <w:bCs/>
          <w:sz w:val="24"/>
          <w:szCs w:val="24"/>
        </w:rPr>
        <w:t xml:space="preserve">4. Cadre tectonique </w:t>
      </w:r>
      <w:r>
        <w:rPr>
          <w:rFonts w:ascii="TimesNewRoman,Bold" w:hAnsi="TimesNewRoman,Bold" w:cs="TimesNewRoman,Bold"/>
          <w:sz w:val="24"/>
          <w:szCs w:val="24"/>
        </w:rPr>
        <w:t>(figure. n°08) :</w:t>
      </w:r>
    </w:p>
    <w:p>
      <w:pPr>
        <w:autoSpaceDE w:val="0"/>
        <w:autoSpaceDN w:val="0"/>
        <w:adjustRightInd w:val="0"/>
        <w:spacing w:after="0" w:line="360" w:lineRule="auto"/>
        <w:ind w:firstLine="284"/>
        <w:rPr>
          <w:rFonts w:asciiTheme="majorBidi" w:hAnsiTheme="majorBidi" w:cstheme="majorBidi"/>
          <w:sz w:val="24"/>
          <w:szCs w:val="24"/>
        </w:rPr>
      </w:pPr>
      <w:r>
        <w:rPr>
          <w:rFonts w:asciiTheme="majorBidi" w:hAnsiTheme="majorBidi" w:cstheme="majorBidi"/>
          <w:sz w:val="24"/>
          <w:szCs w:val="24"/>
        </w:rPr>
        <w:t>La coupe N-S structurale (figure n°08.) montre que la zone d’étude est structurée par d’importants chevauchements. Le Miocène repose indifféremment sur le Crétacé supérieur. Plus au sud, les nappes Oligo-Miocène chevauchent le Miocène inférieur de l’avant fosse qui repose en discordance sur les différents termes du Mésozoïque. Ces derniers qui forment soit de simples imbrications soit des plis par propagation de failles, se rejoignent sur un décollement qui se situe à la base du crétacé supérieur (Meghraoui et al, 1996).</w:t>
      </w:r>
    </w:p>
    <w:p>
      <w:pPr>
        <w:autoSpaceDE w:val="0"/>
        <w:autoSpaceDN w:val="0"/>
        <w:adjustRightInd w:val="0"/>
        <w:spacing w:after="0" w:line="360" w:lineRule="auto"/>
        <w:ind w:firstLine="284"/>
        <w:rPr>
          <w:rFonts w:asciiTheme="majorBidi" w:hAnsiTheme="majorBidi" w:cstheme="majorBidi"/>
          <w:sz w:val="24"/>
          <w:szCs w:val="24"/>
        </w:rPr>
      </w:pPr>
      <w:r>
        <w:rPr>
          <w:rFonts w:asciiTheme="majorBidi" w:hAnsiTheme="majorBidi" w:cstheme="majorBidi"/>
          <w:sz w:val="24"/>
          <w:szCs w:val="24"/>
        </w:rPr>
        <w:t>La structure de la bordure sud est caractérisée par des plis et des accidents inverses, la direction des axes des plis est NE-SW dans la région d’Akboube, de Zemmora et de Tliouanet et tend à prendre une orientation ENE-WSW vers la région nord (Ain-Zeft et El Biod). Ces plis sont mis en relation avec des phases transgressives et s’associent aux accidents inverses dont l’orientation suit celle des anticlinaux. Ce sont donc des plis de rampes décrits par (Meghraoui et al, 1996).</w:t>
      </w:r>
    </w:p>
    <w:p>
      <w:pPr>
        <w:tabs>
          <w:tab w:val="left" w:pos="1350"/>
        </w:tabs>
        <w:spacing w:line="360" w:lineRule="auto"/>
        <w:jc w:val="center"/>
        <w:rPr>
          <w:rFonts w:asciiTheme="majorBidi" w:hAnsiTheme="majorBidi" w:cstheme="majorBidi"/>
          <w:b/>
          <w:bCs/>
          <w:sz w:val="24"/>
          <w:szCs w:val="24"/>
        </w:rPr>
      </w:pPr>
      <w:r>
        <w:rPr>
          <w:rFonts w:asciiTheme="majorBidi" w:hAnsiTheme="majorBidi" w:cstheme="majorBidi"/>
          <w:b/>
          <w:bCs/>
          <w:sz w:val="24"/>
          <w:szCs w:val="24"/>
          <w:lang w:eastAsia="fr-FR"/>
        </w:rPr>
        <w:pict>
          <v:rect id="_x0000_s2061" o:spid="_x0000_s2061" o:spt="1" style="position:absolute;left:0pt;margin-left:-5.65pt;margin-top:-0.7pt;height:299.9pt;width:489.75pt;z-index:-251653120;mso-width-relative:page;mso-height-relative:page;" coordsize="21600,21600">
            <v:path/>
            <v:fill focussize="0,0"/>
            <v:stroke weight="2.25pt"/>
            <v:imagedata o:title=""/>
            <o:lock v:ext="edit"/>
            <v:textbox>
              <w:txbxContent>
                <w:p/>
              </w:txbxContent>
            </v:textbox>
          </v:rect>
        </w:pict>
      </w:r>
      <w:r>
        <w:rPr>
          <w:rFonts w:asciiTheme="majorBidi" w:hAnsiTheme="majorBidi" w:cstheme="majorBidi"/>
          <w:b/>
          <w:bCs/>
          <w:sz w:val="24"/>
          <w:szCs w:val="24"/>
          <w:lang w:eastAsia="fr-FR"/>
        </w:rPr>
        <w:drawing>
          <wp:inline distT="0" distB="0" distL="0" distR="0">
            <wp:extent cx="6010275" cy="3790950"/>
            <wp:effectExtent l="0" t="0" r="9525" b="6350"/>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2"/>
                    <pic:cNvPicPr>
                      <a:picLocks noChangeAspect="1" noChangeArrowheads="1"/>
                    </pic:cNvPicPr>
                  </pic:nvPicPr>
                  <pic:blipFill>
                    <a:blip r:embed="rId15"/>
                    <a:srcRect/>
                    <a:stretch>
                      <a:fillRect/>
                    </a:stretch>
                  </pic:blipFill>
                  <pic:spPr>
                    <a:xfrm>
                      <a:off x="0" y="0"/>
                      <a:ext cx="6010275" cy="3790950"/>
                    </a:xfrm>
                    <a:prstGeom prst="rect">
                      <a:avLst/>
                    </a:prstGeom>
                    <a:noFill/>
                    <a:ln w="9525">
                      <a:noFill/>
                      <a:miter lim="800000"/>
                      <a:headEnd/>
                      <a:tailEnd/>
                    </a:ln>
                  </pic:spPr>
                </pic:pic>
              </a:graphicData>
            </a:graphic>
          </wp:inline>
        </w:drawing>
      </w:r>
    </w:p>
    <w:p>
      <w:pPr>
        <w:tabs>
          <w:tab w:val="left" w:pos="1350"/>
        </w:tabs>
        <w:spacing w:line="360" w:lineRule="auto"/>
        <w:ind w:firstLine="567"/>
        <w:jc w:val="center"/>
        <w:rPr>
          <w:rFonts w:asciiTheme="majorBidi" w:hAnsiTheme="majorBidi" w:cstheme="majorBidi"/>
          <w:sz w:val="24"/>
          <w:szCs w:val="24"/>
        </w:rPr>
      </w:pPr>
      <w:r>
        <w:rPr>
          <w:rFonts w:asciiTheme="majorBidi" w:hAnsiTheme="majorBidi" w:cstheme="majorBidi"/>
          <w:sz w:val="24"/>
          <w:szCs w:val="24"/>
        </w:rPr>
        <w:t>Fig n°08. Coupe structurale régionale recoupant les éléments structuraux de l’Ouest Algérien (</w:t>
      </w:r>
      <w:r>
        <w:rPr>
          <w:rFonts w:asciiTheme="majorBidi" w:hAnsiTheme="majorBidi" w:cstheme="majorBidi"/>
          <w:i/>
          <w:iCs/>
          <w:sz w:val="24"/>
          <w:szCs w:val="24"/>
        </w:rPr>
        <w:t>Meghraoui et al ; 1996</w:t>
      </w:r>
      <w:r>
        <w:rPr>
          <w:rFonts w:asciiTheme="majorBidi" w:hAnsiTheme="majorBidi" w:cstheme="majorBidi"/>
          <w:sz w:val="24"/>
          <w:szCs w:val="24"/>
        </w:rPr>
        <w:t>)</w:t>
      </w:r>
    </w:p>
    <w:p>
      <w:pPr>
        <w:tabs>
          <w:tab w:val="left" w:pos="1350"/>
        </w:tabs>
        <w:spacing w:after="0" w:line="360" w:lineRule="auto"/>
        <w:rPr>
          <w:rFonts w:asciiTheme="majorBidi" w:hAnsiTheme="majorBidi" w:cstheme="majorBidi"/>
          <w:b/>
          <w:bCs/>
          <w:sz w:val="24"/>
          <w:szCs w:val="24"/>
        </w:rPr>
      </w:pPr>
      <w:r>
        <w:rPr>
          <w:rFonts w:asciiTheme="majorBidi" w:hAnsiTheme="majorBidi" w:cstheme="majorBidi"/>
          <w:b/>
          <w:bCs/>
          <w:sz w:val="24"/>
          <w:szCs w:val="24"/>
        </w:rPr>
        <w:t>5. Hydrographie :</w:t>
      </w:r>
    </w:p>
    <w:p>
      <w:pPr>
        <w:pStyle w:val="10"/>
        <w:tabs>
          <w:tab w:val="left" w:pos="1350"/>
        </w:tabs>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Le secteur  d’Acheacha est entaillé par de profondes et étroites vallées où le réseau hydrographique est réduit à de minces cours d’eau parfois intermittents alimentés par de petites sources conditionnées par une pluviométrie irrégulière (Fellah, 2014).</w:t>
      </w:r>
    </w:p>
    <w:p>
      <w:pPr>
        <w:pStyle w:val="10"/>
        <w:tabs>
          <w:tab w:val="left" w:pos="1350"/>
        </w:tabs>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 xml:space="preserve"> Les principaux Oued de direction générale S-N, sont d’Ouest en Est :</w:t>
      </w:r>
    </w:p>
    <w:p>
      <w:pPr>
        <w:pStyle w:val="10"/>
        <w:tabs>
          <w:tab w:val="left" w:pos="1350"/>
        </w:tabs>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-Oued Roumane, appelé Oued Melah plus au sud, très profond avec un large lit.</w:t>
      </w:r>
    </w:p>
    <w:p>
      <w:pPr>
        <w:pStyle w:val="10"/>
        <w:tabs>
          <w:tab w:val="left" w:pos="1350"/>
        </w:tabs>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 xml:space="preserve">-Oued Zerrifa. </w:t>
      </w:r>
    </w:p>
    <w:p>
      <w:pPr>
        <w:pStyle w:val="10"/>
        <w:tabs>
          <w:tab w:val="left" w:pos="1350"/>
        </w:tabs>
        <w:spacing w:after="0" w:line="360" w:lineRule="auto"/>
        <w:ind w:left="0" w:firstLine="284"/>
        <w:rPr>
          <w:rFonts w:asciiTheme="majorBidi" w:hAnsiTheme="majorBidi" w:cstheme="majorBidi"/>
          <w:sz w:val="24"/>
          <w:szCs w:val="24"/>
        </w:rPr>
      </w:pPr>
      <w:r>
        <w:rPr>
          <w:rFonts w:asciiTheme="majorBidi" w:hAnsiTheme="majorBidi" w:cstheme="majorBidi"/>
          <w:sz w:val="24"/>
          <w:szCs w:val="24"/>
        </w:rPr>
        <w:t xml:space="preserve">-Oued Kramis : le plus important, situé à l’extrême Est du secteur étudié, il est connu sous le nom de Sidi Bakrti sur le versant Nord du massif, caractérise d’un surface 11 km </w:t>
      </w:r>
      <w:r>
        <w:rPr>
          <w:rFonts w:asciiTheme="majorBidi" w:hAnsiTheme="majorBidi" w:cstheme="majorBidi"/>
          <w:sz w:val="24"/>
          <w:szCs w:val="24"/>
          <w:vertAlign w:val="superscript"/>
        </w:rPr>
        <w:t xml:space="preserve">2 </w:t>
      </w:r>
      <w:r>
        <w:rPr>
          <w:rFonts w:asciiTheme="majorBidi" w:hAnsiTheme="majorBidi" w:cstheme="majorBidi"/>
          <w:sz w:val="24"/>
          <w:szCs w:val="24"/>
        </w:rPr>
        <w:t>avec un écoulement orienté S.N avec un exutoire ver le barrage (Fellah, 2014).</w:t>
      </w:r>
    </w:p>
    <w:p>
      <w:pPr>
        <w:pStyle w:val="10"/>
        <w:tabs>
          <w:tab w:val="left" w:pos="1350"/>
        </w:tabs>
        <w:spacing w:line="360" w:lineRule="auto"/>
        <w:ind w:left="851"/>
        <w:jc w:val="both"/>
        <w:rPr>
          <w:rFonts w:asciiTheme="majorBidi" w:hAnsiTheme="majorBidi" w:cstheme="majorBidi"/>
          <w:b/>
          <w:bCs/>
          <w:i/>
          <w:iCs/>
          <w:sz w:val="24"/>
          <w:szCs w:val="24"/>
        </w:rPr>
      </w:pPr>
    </w:p>
    <w:p>
      <w:pPr>
        <w:pStyle w:val="10"/>
        <w:tabs>
          <w:tab w:val="left" w:pos="1350"/>
        </w:tabs>
        <w:spacing w:line="360" w:lineRule="auto"/>
        <w:ind w:left="-567"/>
        <w:jc w:val="both"/>
        <w:rPr>
          <w:rFonts w:asciiTheme="majorBidi" w:hAnsiTheme="majorBidi" w:cstheme="majorBidi"/>
          <w:b/>
          <w:bCs/>
          <w:i/>
          <w:iCs/>
          <w:sz w:val="24"/>
          <w:szCs w:val="24"/>
        </w:rPr>
      </w:pPr>
      <w:r>
        <w:rPr>
          <w:rFonts w:asciiTheme="majorBidi" w:hAnsiTheme="majorBidi" w:cstheme="majorBidi"/>
          <w:b/>
          <w:bCs/>
          <w:i/>
          <w:iCs/>
          <w:sz w:val="24"/>
          <w:szCs w:val="24"/>
          <w:lang w:eastAsia="fr-FR"/>
        </w:rPr>
        <w:drawing>
          <wp:inline distT="0" distB="0" distL="0" distR="0">
            <wp:extent cx="6657340" cy="4676775"/>
            <wp:effectExtent l="0" t="0" r="1016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658129" cy="4677088"/>
                    </a:xfrm>
                    <a:prstGeom prst="rect">
                      <a:avLst/>
                    </a:prstGeom>
                    <a:noFill/>
                  </pic:spPr>
                </pic:pic>
              </a:graphicData>
            </a:graphic>
          </wp:inline>
        </w:drawing>
      </w:r>
    </w:p>
    <w:p>
      <w:pPr>
        <w:spacing w:line="360" w:lineRule="auto"/>
        <w:jc w:val="center"/>
        <w:rPr>
          <w:rFonts w:asciiTheme="majorBidi" w:hAnsiTheme="majorBidi" w:cstheme="majorBidi"/>
          <w:sz w:val="24"/>
          <w:szCs w:val="24"/>
        </w:rPr>
      </w:pPr>
      <w:r>
        <w:rPr>
          <w:rFonts w:asciiTheme="majorBidi" w:hAnsiTheme="majorBidi" w:cstheme="majorBidi"/>
          <w:sz w:val="24"/>
          <w:szCs w:val="24"/>
        </w:rPr>
        <w:t>Fig n° 09: carte hydrographique de secteur étudié (</w:t>
      </w:r>
      <w:r>
        <w:rPr>
          <w:rFonts w:asciiTheme="majorBidi" w:hAnsiTheme="majorBidi" w:cstheme="majorBidi"/>
          <w:i/>
          <w:iCs/>
          <w:sz w:val="24"/>
          <w:szCs w:val="24"/>
        </w:rPr>
        <w:t>In</w:t>
      </w:r>
      <w:r>
        <w:rPr>
          <w:rFonts w:asciiTheme="majorBidi" w:hAnsiTheme="majorBidi" w:cstheme="majorBidi"/>
          <w:sz w:val="24"/>
          <w:szCs w:val="24"/>
        </w:rPr>
        <w:t xml:space="preserve"> Fellah, 2014).</w:t>
      </w:r>
    </w:p>
    <w:p>
      <w:pPr>
        <w:spacing w:after="0" w:line="360" w:lineRule="auto"/>
        <w:jc w:val="both"/>
        <w:rPr>
          <w:rFonts w:asciiTheme="majorBidi" w:hAnsiTheme="majorBidi" w:cstheme="majorBidi"/>
          <w:b/>
          <w:bCs/>
          <w:i/>
          <w:iCs/>
          <w:sz w:val="24"/>
          <w:szCs w:val="24"/>
        </w:rPr>
      </w:pPr>
      <w:r>
        <w:rPr>
          <w:rFonts w:asciiTheme="majorBidi" w:hAnsiTheme="majorBidi" w:cstheme="majorBidi"/>
          <w:b/>
          <w:bCs/>
          <w:sz w:val="24"/>
          <w:szCs w:val="24"/>
        </w:rPr>
        <w:t>6. Hydrogéologie</w:t>
      </w:r>
      <w:r>
        <w:rPr>
          <w:rFonts w:asciiTheme="majorBidi" w:hAnsiTheme="majorBidi" w:cstheme="majorBidi"/>
          <w:b/>
          <w:bCs/>
          <w:i/>
          <w:iCs/>
          <w:sz w:val="24"/>
          <w:szCs w:val="24"/>
        </w:rPr>
        <w:t xml:space="preserve"> </w:t>
      </w:r>
      <w:r>
        <w:rPr>
          <w:rFonts w:asciiTheme="majorBidi" w:hAnsiTheme="majorBidi" w:cstheme="majorBidi"/>
          <w:b/>
          <w:bCs/>
          <w:sz w:val="24"/>
          <w:szCs w:val="24"/>
        </w:rPr>
        <w:t>:</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La commune d’Acheacha est suspectée de renfermer des potentialités en eau à travers son territoire (en témoigne les nombreuses sources, puits et forages).</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D’après l’étude d’aménagement hydro-agricole de la plaine de Kramis faite par la direction de ressource en eaux de la wilaya de Mostaganem en 2014, il y a dans le secteur d’Acheacha 523 points d’eau avec un prélèvement d’eau de 1 400 000 m3/an.</w:t>
      </w:r>
    </w:p>
    <w:p>
      <w:pPr>
        <w:spacing w:after="0" w:line="360" w:lineRule="auto"/>
        <w:ind w:firstLine="284"/>
        <w:jc w:val="both"/>
        <w:rPr>
          <w:rFonts w:asciiTheme="majorBidi" w:hAnsiTheme="majorBidi" w:cstheme="majorBidi"/>
          <w:sz w:val="24"/>
          <w:szCs w:val="24"/>
        </w:rPr>
      </w:pPr>
    </w:p>
    <w:p>
      <w:pPr>
        <w:spacing w:after="0" w:line="360" w:lineRule="auto"/>
        <w:ind w:firstLine="284"/>
        <w:jc w:val="both"/>
        <w:rPr>
          <w:rFonts w:asciiTheme="majorBidi" w:hAnsiTheme="majorBidi" w:cstheme="majorBidi"/>
          <w:sz w:val="24"/>
          <w:szCs w:val="24"/>
        </w:rPr>
      </w:pPr>
    </w:p>
    <w:p>
      <w:pPr>
        <w:spacing w:after="0" w:line="360" w:lineRule="auto"/>
        <w:ind w:firstLine="284"/>
        <w:jc w:val="both"/>
        <w:rPr>
          <w:rFonts w:asciiTheme="majorBidi" w:hAnsiTheme="majorBidi" w:cstheme="majorBidi"/>
          <w:sz w:val="24"/>
          <w:szCs w:val="24"/>
        </w:rPr>
      </w:pPr>
    </w:p>
    <w:p>
      <w:pPr>
        <w:spacing w:after="0" w:line="360" w:lineRule="auto"/>
        <w:ind w:firstLine="284"/>
        <w:jc w:val="both"/>
        <w:rPr>
          <w:rFonts w:asciiTheme="majorBidi" w:hAnsiTheme="majorBidi" w:cstheme="majorBidi"/>
          <w:sz w:val="24"/>
          <w:szCs w:val="24"/>
        </w:rPr>
      </w:pPr>
    </w:p>
    <w:p>
      <w:pPr>
        <w:spacing w:after="0" w:line="360" w:lineRule="auto"/>
        <w:ind w:firstLine="284"/>
        <w:jc w:val="both"/>
        <w:rPr>
          <w:rFonts w:asciiTheme="majorBidi" w:hAnsiTheme="majorBidi" w:cstheme="majorBidi"/>
          <w:sz w:val="24"/>
          <w:szCs w:val="24"/>
        </w:rPr>
      </w:pPr>
    </w:p>
    <w:p>
      <w:pPr>
        <w:spacing w:after="0" w:line="360" w:lineRule="auto"/>
        <w:ind w:firstLine="284"/>
        <w:jc w:val="both"/>
        <w:rPr>
          <w:rFonts w:asciiTheme="majorBidi" w:hAnsiTheme="majorBidi" w:cstheme="majorBidi"/>
          <w:sz w:val="24"/>
          <w:szCs w:val="24"/>
        </w:rPr>
      </w:pPr>
    </w:p>
    <w:p>
      <w:pPr>
        <w:spacing w:after="0" w:line="360" w:lineRule="auto"/>
        <w:ind w:firstLine="284"/>
        <w:jc w:val="both"/>
        <w:rPr>
          <w:rFonts w:asciiTheme="majorBidi" w:hAnsiTheme="majorBidi" w:cstheme="majorBidi"/>
          <w:sz w:val="24"/>
          <w:szCs w:val="24"/>
        </w:rPr>
      </w:pPr>
    </w:p>
    <w:p>
      <w:pPr>
        <w:spacing w:after="0" w:line="360" w:lineRule="auto"/>
        <w:ind w:firstLine="284"/>
        <w:jc w:val="both"/>
        <w:rPr>
          <w:rFonts w:asciiTheme="majorBidi" w:hAnsiTheme="majorBidi" w:cstheme="majorBidi"/>
          <w:sz w:val="24"/>
          <w:szCs w:val="24"/>
        </w:rPr>
      </w:pPr>
    </w:p>
    <w:p>
      <w:pPr>
        <w:spacing w:line="360" w:lineRule="auto"/>
        <w:ind w:firstLine="708"/>
        <w:jc w:val="center"/>
        <w:rPr>
          <w:rFonts w:asciiTheme="majorBidi" w:hAnsiTheme="majorBidi" w:cstheme="majorBidi"/>
          <w:sz w:val="24"/>
          <w:szCs w:val="24"/>
        </w:rPr>
      </w:pPr>
      <w:r>
        <w:rPr>
          <w:rFonts w:asciiTheme="majorBidi" w:hAnsiTheme="majorBidi" w:cstheme="majorBidi"/>
          <w:sz w:val="24"/>
          <w:szCs w:val="24"/>
        </w:rPr>
        <w:t>Tableau n°01 : Nombre de puits et leur prélèvement du secteur d’Acheacha par classe de profondeur et par classe de tranche d’eau exploitable.</w:t>
      </w:r>
    </w:p>
    <w:tbl>
      <w:tblPr>
        <w:tblStyle w:val="11"/>
        <w:tblW w:w="90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4"/>
        <w:gridCol w:w="1780"/>
        <w:gridCol w:w="1796"/>
        <w:gridCol w:w="1839"/>
        <w:gridCol w:w="1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1" w:hRule="atLeast"/>
        </w:trPr>
        <w:tc>
          <w:tcPr>
            <w:tcW w:w="1814"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secteur</w:t>
            </w:r>
          </w:p>
        </w:tc>
        <w:tc>
          <w:tcPr>
            <w:tcW w:w="1780"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Nmb. points</w:t>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d’eau</w:t>
            </w:r>
          </w:p>
        </w:tc>
        <w:tc>
          <w:tcPr>
            <w:tcW w:w="1796"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Niveau</w:t>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statique m</w:t>
            </w:r>
          </w:p>
        </w:tc>
        <w:tc>
          <w:tcPr>
            <w:tcW w:w="1839"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Prélèvement</w:t>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par point</w:t>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(m</w:t>
            </w:r>
            <w:r>
              <w:rPr>
                <w:rFonts w:asciiTheme="majorBidi" w:hAnsiTheme="majorBidi" w:cstheme="majorBidi"/>
                <w:sz w:val="24"/>
                <w:szCs w:val="24"/>
                <w:vertAlign w:val="superscript"/>
              </w:rPr>
              <w:t>3</w:t>
            </w:r>
            <w:r>
              <w:rPr>
                <w:rFonts w:asciiTheme="majorBidi" w:hAnsiTheme="majorBidi" w:cstheme="majorBidi"/>
                <w:sz w:val="24"/>
                <w:szCs w:val="24"/>
              </w:rPr>
              <w:t>/an)</w:t>
            </w:r>
          </w:p>
        </w:tc>
        <w:tc>
          <w:tcPr>
            <w:tcW w:w="1839"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Prélèvement</w:t>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du secteur</w:t>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(m</w:t>
            </w:r>
            <w:r>
              <w:rPr>
                <w:rFonts w:asciiTheme="majorBidi" w:hAnsiTheme="majorBidi" w:cstheme="majorBidi"/>
                <w:sz w:val="24"/>
                <w:szCs w:val="24"/>
                <w:vertAlign w:val="superscript"/>
              </w:rPr>
              <w:t>3</w:t>
            </w:r>
            <w:r>
              <w:rPr>
                <w:rFonts w:asciiTheme="majorBidi" w:hAnsiTheme="majorBidi" w:cstheme="majorBidi"/>
                <w:sz w:val="24"/>
                <w:szCs w:val="24"/>
              </w:rPr>
              <w:t>/an)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814"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Acheacha</w:t>
            </w:r>
          </w:p>
        </w:tc>
        <w:tc>
          <w:tcPr>
            <w:tcW w:w="1780" w:type="dxa"/>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523</w:t>
            </w:r>
          </w:p>
        </w:tc>
        <w:tc>
          <w:tcPr>
            <w:tcW w:w="1796" w:type="dxa"/>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2.5 à 27</w:t>
            </w:r>
          </w:p>
        </w:tc>
        <w:tc>
          <w:tcPr>
            <w:tcW w:w="1839" w:type="dxa"/>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1400000</w:t>
            </w:r>
          </w:p>
        </w:tc>
        <w:tc>
          <w:tcPr>
            <w:tcW w:w="1839" w:type="dxa"/>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1 000 000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1814"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Total du projet</w:t>
            </w:r>
          </w:p>
        </w:tc>
        <w:tc>
          <w:tcPr>
            <w:tcW w:w="1780" w:type="dxa"/>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674</w:t>
            </w:r>
          </w:p>
        </w:tc>
        <w:tc>
          <w:tcPr>
            <w:tcW w:w="1796" w:type="dxa"/>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w:t>
            </w:r>
          </w:p>
        </w:tc>
        <w:tc>
          <w:tcPr>
            <w:tcW w:w="1839" w:type="dxa"/>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2 300 000</w:t>
            </w:r>
          </w:p>
        </w:tc>
        <w:tc>
          <w:tcPr>
            <w:tcW w:w="1839" w:type="dxa"/>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2 100 000</w:t>
            </w:r>
          </w:p>
        </w:tc>
      </w:tr>
    </w:tbl>
    <w:p>
      <w:pPr>
        <w:spacing w:line="360" w:lineRule="auto"/>
        <w:jc w:val="right"/>
        <w:rPr>
          <w:rFonts w:asciiTheme="majorBidi" w:hAnsiTheme="majorBidi" w:cstheme="majorBidi"/>
          <w:sz w:val="24"/>
          <w:szCs w:val="24"/>
        </w:rPr>
      </w:pPr>
      <w:r>
        <w:rPr>
          <w:rFonts w:asciiTheme="majorBidi" w:hAnsiTheme="majorBidi" w:cstheme="majorBidi"/>
          <w:sz w:val="24"/>
          <w:szCs w:val="24"/>
        </w:rPr>
        <w:t xml:space="preserve">  Source : DRE de Mostaganem 2014</w:t>
      </w:r>
    </w:p>
    <w:p>
      <w:pPr>
        <w:spacing w:line="360" w:lineRule="auto"/>
        <w:jc w:val="both"/>
        <w:rPr>
          <w:rFonts w:asciiTheme="majorBidi" w:hAnsiTheme="majorBidi" w:cstheme="majorBidi"/>
          <w:sz w:val="24"/>
          <w:szCs w:val="24"/>
        </w:rPr>
      </w:pPr>
      <w:r>
        <w:rPr>
          <w:rFonts w:asciiTheme="majorBidi" w:hAnsiTheme="majorBidi" w:cstheme="majorBidi"/>
          <w:sz w:val="24"/>
          <w:szCs w:val="24"/>
        </w:rPr>
        <w:t>Tableau n°02: Casses des puits par profondeur et tranche d’eau de secteur d’Acheacha.</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49"/>
        <w:gridCol w:w="1906"/>
        <w:gridCol w:w="2612"/>
        <w:gridCol w:w="22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13" w:hRule="atLeast"/>
        </w:trPr>
        <w:tc>
          <w:tcPr>
            <w:tcW w:w="2284"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classe de tranche</w:t>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d’eau(m)</w:t>
            </w:r>
          </w:p>
        </w:tc>
        <w:tc>
          <w:tcPr>
            <w:tcW w:w="1934"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Nombre</w:t>
            </w:r>
          </w:p>
        </w:tc>
        <w:tc>
          <w:tcPr>
            <w:tcW w:w="2653"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classe de profondeur (m)</w:t>
            </w:r>
          </w:p>
        </w:tc>
        <w:tc>
          <w:tcPr>
            <w:tcW w:w="2275"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Nombre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2284"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0 – 0,5</w:t>
            </w:r>
          </w:p>
        </w:tc>
        <w:tc>
          <w:tcPr>
            <w:tcW w:w="1934"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148</w:t>
            </w:r>
          </w:p>
        </w:tc>
        <w:tc>
          <w:tcPr>
            <w:tcW w:w="2653"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0 –5</w:t>
            </w:r>
          </w:p>
        </w:tc>
        <w:tc>
          <w:tcPr>
            <w:tcW w:w="2275"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2284"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0 ,5 -1 140 119</w:t>
            </w:r>
          </w:p>
        </w:tc>
        <w:tc>
          <w:tcPr>
            <w:tcW w:w="1934"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1140</w:t>
            </w:r>
          </w:p>
        </w:tc>
        <w:tc>
          <w:tcPr>
            <w:tcW w:w="2653"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5 -10</w:t>
            </w:r>
          </w:p>
        </w:tc>
        <w:tc>
          <w:tcPr>
            <w:tcW w:w="2275"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2284"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1–1,5</w:t>
            </w:r>
          </w:p>
        </w:tc>
        <w:tc>
          <w:tcPr>
            <w:tcW w:w="1934"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101</w:t>
            </w:r>
          </w:p>
        </w:tc>
        <w:tc>
          <w:tcPr>
            <w:tcW w:w="2653"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10-15</w:t>
            </w:r>
          </w:p>
        </w:tc>
        <w:tc>
          <w:tcPr>
            <w:tcW w:w="2275"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2284"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1,5 -2</w:t>
            </w:r>
          </w:p>
        </w:tc>
        <w:tc>
          <w:tcPr>
            <w:tcW w:w="1934"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47</w:t>
            </w:r>
          </w:p>
        </w:tc>
        <w:tc>
          <w:tcPr>
            <w:tcW w:w="2653"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15-20</w:t>
            </w:r>
          </w:p>
        </w:tc>
        <w:tc>
          <w:tcPr>
            <w:tcW w:w="2275"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2284"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2 et plus</w:t>
            </w:r>
          </w:p>
        </w:tc>
        <w:tc>
          <w:tcPr>
            <w:tcW w:w="1934"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60</w:t>
            </w:r>
          </w:p>
        </w:tc>
        <w:tc>
          <w:tcPr>
            <w:tcW w:w="2653"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2O et plus</w:t>
            </w:r>
          </w:p>
        </w:tc>
        <w:tc>
          <w:tcPr>
            <w:tcW w:w="2275"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40</w:t>
            </w:r>
          </w:p>
        </w:tc>
      </w:tr>
    </w:tbl>
    <w:p>
      <w:pPr>
        <w:spacing w:after="0" w:line="360" w:lineRule="auto"/>
        <w:ind w:firstLine="284"/>
        <w:jc w:val="right"/>
        <w:rPr>
          <w:rFonts w:asciiTheme="majorBidi" w:hAnsiTheme="majorBidi" w:cstheme="majorBidi"/>
          <w:sz w:val="24"/>
          <w:szCs w:val="24"/>
        </w:rPr>
      </w:pPr>
      <w:r>
        <w:rPr>
          <w:rFonts w:asciiTheme="majorBidi" w:hAnsiTheme="majorBidi" w:cstheme="majorBidi"/>
          <w:sz w:val="24"/>
          <w:szCs w:val="24"/>
        </w:rPr>
        <w:t xml:space="preserve">                                                         Source : DRE de Mostaganem 2014</w:t>
      </w:r>
    </w:p>
    <w:p>
      <w:pPr>
        <w:spacing w:after="0" w:line="360" w:lineRule="auto"/>
        <w:ind w:firstLine="284"/>
        <w:jc w:val="right"/>
        <w:rPr>
          <w:rFonts w:asciiTheme="majorBidi" w:hAnsiTheme="majorBidi" w:cstheme="majorBidi"/>
          <w:sz w:val="24"/>
          <w:szCs w:val="24"/>
        </w:rPr>
      </w:pP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Près de la moitié des puits exploités ont une tranche d’eau inférieure à 1m, bien qu’ils atteignent presque tous les substrats cela indique un état d’épuisement de la nappe assez élevé à  la surexploitation des ressources et au prélèvement continu sur les faibles réserves hydrogéologiques de la nappe.</w:t>
      </w: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Conclusion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Les sondages et l’étude de terrain relèvent l’existence de quatre types de formations qui sont  du bas en haut : </w:t>
      </w:r>
    </w:p>
    <w:p>
      <w:pPr>
        <w:pStyle w:val="10"/>
        <w:numPr>
          <w:ilvl w:val="0"/>
          <w:numId w:val="17"/>
        </w:num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Le Trias : constitué d’argile ou marnes plus ou moins gypseuses et salées. </w:t>
      </w:r>
    </w:p>
    <w:p>
      <w:pPr>
        <w:pStyle w:val="10"/>
        <w:numPr>
          <w:ilvl w:val="0"/>
          <w:numId w:val="17"/>
        </w:numPr>
        <w:spacing w:after="0" w:line="360" w:lineRule="auto"/>
        <w:rPr>
          <w:rFonts w:asciiTheme="majorBidi" w:hAnsiTheme="majorBidi" w:cstheme="majorBidi"/>
          <w:sz w:val="24"/>
          <w:szCs w:val="24"/>
        </w:rPr>
      </w:pPr>
      <w:r>
        <w:rPr>
          <w:rFonts w:asciiTheme="majorBidi" w:hAnsiTheme="majorBidi" w:cstheme="majorBidi"/>
          <w:sz w:val="24"/>
          <w:szCs w:val="24"/>
        </w:rPr>
        <w:t>Le crétacé : formé des marnes et des argiles avec de couches de grés quartzitique et des nodules ferrugineuses.</w:t>
      </w:r>
    </w:p>
    <w:p>
      <w:pPr>
        <w:pStyle w:val="10"/>
        <w:numPr>
          <w:ilvl w:val="0"/>
          <w:numId w:val="17"/>
        </w:numPr>
        <w:spacing w:after="0" w:line="360" w:lineRule="auto"/>
        <w:rPr>
          <w:rFonts w:asciiTheme="majorBidi" w:hAnsiTheme="majorBidi" w:cstheme="majorBidi"/>
          <w:sz w:val="24"/>
          <w:szCs w:val="24"/>
        </w:rPr>
      </w:pPr>
      <w:r>
        <w:rPr>
          <w:rFonts w:asciiTheme="majorBidi" w:hAnsiTheme="majorBidi" w:cstheme="majorBidi"/>
          <w:sz w:val="24"/>
          <w:szCs w:val="24"/>
        </w:rPr>
        <w:t xml:space="preserve">Le Miocène: (Miocène inferieure, Miocène supérieure) : caractérisé par une vaste transgression touchant tout le domaine Algérien il est représenté par des marnes bleues d’épaisseur de plusieurs milliers de mètres,  ces marnes passent latéralement et verticalement, à des grés marneux ; à des marnes bariolées ou à des conglomérats marins ou continentaux pour la Miocène inferieure,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Ce cycle est précédé d’une phase d’érosion active accompagnée de l’accumulation de séries continentales puis la transgression messénienne se développe elle n’envahit que très  progressivement les horsts littoraux ainsi que les monts de Tessala</w:t>
      </w:r>
    </w:p>
    <w:p>
      <w:pPr>
        <w:pStyle w:val="10"/>
        <w:numPr>
          <w:ilvl w:val="0"/>
          <w:numId w:val="18"/>
        </w:numPr>
        <w:spacing w:after="0" w:line="360" w:lineRule="auto"/>
        <w:rPr>
          <w:rFonts w:asciiTheme="majorBidi" w:hAnsiTheme="majorBidi" w:cstheme="majorBidi"/>
          <w:sz w:val="24"/>
          <w:szCs w:val="24"/>
        </w:rPr>
      </w:pPr>
      <w:r>
        <w:rPr>
          <w:rFonts w:asciiTheme="majorBidi" w:hAnsiTheme="majorBidi" w:cstheme="majorBidi"/>
          <w:sz w:val="24"/>
          <w:szCs w:val="24"/>
        </w:rPr>
        <w:t>Le Quaternaire : caractérisé par Grès Calabriens et Formations dunaires.</w:t>
      </w: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b/>
          <w:bCs/>
          <w:sz w:val="24"/>
          <w:szCs w:val="24"/>
        </w:rPr>
      </w:pPr>
    </w:p>
    <w:p>
      <w:pPr>
        <w:spacing w:line="360" w:lineRule="auto"/>
        <w:jc w:val="both"/>
        <w:rPr>
          <w:rFonts w:asciiTheme="majorBidi" w:hAnsiTheme="majorBidi" w:cstheme="majorBidi"/>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Introduction </w:t>
      </w:r>
    </w:p>
    <w:p>
      <w:pPr>
        <w:spacing w:after="0" w:line="360" w:lineRule="auto"/>
        <w:ind w:firstLine="567"/>
        <w:rPr>
          <w:rFonts w:asciiTheme="majorBidi" w:hAnsiTheme="majorBidi" w:cstheme="majorBidi"/>
          <w:sz w:val="24"/>
          <w:szCs w:val="24"/>
        </w:rPr>
      </w:pPr>
      <w:r>
        <w:rPr>
          <w:rFonts w:asciiTheme="majorBidi" w:hAnsiTheme="majorBidi" w:cstheme="majorBidi"/>
          <w:sz w:val="24"/>
          <w:szCs w:val="24"/>
        </w:rPr>
        <w:t>La maitrise de l’eau dans une région suppose qu’avant toute mise en exploitation, la quantification des apports, des pertes et en déduire les ressource disponibles.</w:t>
      </w:r>
    </w:p>
    <w:p>
      <w:pPr>
        <w:spacing w:after="0" w:line="360" w:lineRule="auto"/>
        <w:ind w:firstLine="567"/>
        <w:rPr>
          <w:rFonts w:asciiTheme="majorBidi" w:hAnsiTheme="majorBidi" w:cstheme="majorBidi"/>
          <w:sz w:val="24"/>
          <w:szCs w:val="24"/>
        </w:rPr>
      </w:pPr>
      <w:r>
        <w:rPr>
          <w:rFonts w:asciiTheme="majorBidi" w:hAnsiTheme="majorBidi" w:cstheme="majorBidi"/>
          <w:sz w:val="24"/>
          <w:szCs w:val="24"/>
        </w:rPr>
        <w:t>Les conditions climatiques d’un bassin versant jouent un rôle capital dans le comportement hydrologique des cours d’eau.</w:t>
      </w:r>
      <w:r>
        <w:t xml:space="preserve"> </w:t>
      </w:r>
      <w:r>
        <w:rPr>
          <w:rFonts w:asciiTheme="majorBidi" w:hAnsiTheme="majorBidi" w:cstheme="majorBidi"/>
          <w:sz w:val="24"/>
          <w:szCs w:val="24"/>
        </w:rPr>
        <w:t>Pour cela nous examinerons tous les paramètres climatiques et tenterons de dégager les principales caractéristiques qui s’intègrent dans l’évaluation de bilan hydrologique.</w:t>
      </w:r>
    </w:p>
    <w:p>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I. Etude climatique :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 climat est l’ensemble des phénomènes météorologiques (les précipitations, les températures, les vents, l’humidité, etc.) qui caractérisent l’état moyen de l’atmosphère et son évolution en un lieu donné ; il est déterminé par la situation géographique et par la circulation atmosphérique, le climat est un facteur du milieu naturel qui détermine le potentiel végétal d’une région. Il influe sur le développement des plantes, la formation et l’évolution des sols, son action est souvent défavorable dans la mesure où il peut être à l’origine de la dégradation du milieu.</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Les précipitations constituent les principales entrées des systèmes hydrologiques tels que les bassins versants. Elles sont vitales pour les êtres humains dans la mesure où elles assurent la recharge des ressources en eau et favorisent le développement des activités humaines (agriculture, pêche, production d'énergie,…). Mais, elles peuvent devenir aussi dangereuses, voire mortelles, en causant des inondations.</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Pour notre étude nous avons disposé de donné de précipitation de la station de Mostaganem de l’Oued kramis, pour les températures seul la station de Mostaganem est prise en considération.   </w:t>
      </w:r>
    </w:p>
    <w:p>
      <w:pPr>
        <w:spacing w:after="0" w:line="360" w:lineRule="auto"/>
        <w:ind w:firstLine="567"/>
        <w:jc w:val="both"/>
        <w:rPr>
          <w:rFonts w:asciiTheme="majorBidi" w:hAnsiTheme="majorBidi" w:cstheme="majorBidi"/>
          <w:sz w:val="24"/>
          <w:szCs w:val="24"/>
        </w:rPr>
      </w:pPr>
    </w:p>
    <w:p>
      <w:pPr>
        <w:spacing w:after="0" w:line="360" w:lineRule="auto"/>
        <w:ind w:firstLine="567"/>
        <w:jc w:val="both"/>
        <w:rPr>
          <w:rFonts w:asciiTheme="majorBidi" w:hAnsiTheme="majorBidi" w:cstheme="majorBidi"/>
          <w:sz w:val="24"/>
          <w:szCs w:val="24"/>
        </w:rPr>
      </w:pPr>
    </w:p>
    <w:p>
      <w:pPr>
        <w:spacing w:after="0" w:line="360" w:lineRule="auto"/>
        <w:ind w:firstLine="567"/>
        <w:jc w:val="both"/>
        <w:rPr>
          <w:rFonts w:asciiTheme="majorBidi" w:hAnsiTheme="majorBidi" w:cstheme="majorBidi"/>
          <w:sz w:val="24"/>
          <w:szCs w:val="24"/>
        </w:rPr>
      </w:pPr>
    </w:p>
    <w:p>
      <w:pPr>
        <w:spacing w:after="0" w:line="360" w:lineRule="auto"/>
        <w:ind w:firstLine="567"/>
        <w:jc w:val="both"/>
        <w:rPr>
          <w:rFonts w:asciiTheme="majorBidi" w:hAnsiTheme="majorBidi" w:cstheme="majorBidi"/>
          <w:sz w:val="24"/>
          <w:szCs w:val="24"/>
        </w:rPr>
      </w:pPr>
    </w:p>
    <w:p>
      <w:pPr>
        <w:spacing w:after="0" w:line="360" w:lineRule="auto"/>
        <w:ind w:firstLine="567"/>
        <w:jc w:val="both"/>
        <w:rPr>
          <w:rFonts w:asciiTheme="majorBidi" w:hAnsiTheme="majorBidi" w:cstheme="majorBidi"/>
          <w:sz w:val="24"/>
          <w:szCs w:val="24"/>
        </w:rPr>
      </w:pPr>
    </w:p>
    <w:p>
      <w:pPr>
        <w:spacing w:after="0" w:line="360" w:lineRule="auto"/>
        <w:ind w:firstLine="567"/>
        <w:jc w:val="both"/>
        <w:rPr>
          <w:rFonts w:asciiTheme="majorBidi" w:hAnsiTheme="majorBidi" w:cstheme="majorBidi"/>
          <w:sz w:val="24"/>
          <w:szCs w:val="24"/>
        </w:rPr>
      </w:pPr>
    </w:p>
    <w:p>
      <w:pPr>
        <w:spacing w:after="0" w:line="360" w:lineRule="auto"/>
        <w:ind w:firstLine="567"/>
        <w:jc w:val="both"/>
        <w:rPr>
          <w:rFonts w:asciiTheme="majorBidi" w:hAnsiTheme="majorBidi" w:cstheme="majorBidi"/>
          <w:sz w:val="24"/>
          <w:szCs w:val="24"/>
        </w:rPr>
      </w:pPr>
    </w:p>
    <w:p>
      <w:pPr>
        <w:spacing w:after="0" w:line="360" w:lineRule="auto"/>
        <w:ind w:firstLine="567"/>
        <w:jc w:val="both"/>
        <w:rPr>
          <w:rFonts w:asciiTheme="majorBidi" w:hAnsiTheme="majorBidi" w:cstheme="majorBidi"/>
          <w:sz w:val="24"/>
          <w:szCs w:val="24"/>
        </w:rPr>
      </w:pPr>
    </w:p>
    <w:p>
      <w:pPr>
        <w:spacing w:after="0" w:line="360" w:lineRule="auto"/>
        <w:ind w:firstLine="567"/>
        <w:jc w:val="both"/>
        <w:rPr>
          <w:rFonts w:asciiTheme="majorBidi" w:hAnsiTheme="majorBidi" w:cstheme="majorBidi"/>
          <w:sz w:val="24"/>
          <w:szCs w:val="24"/>
        </w:rPr>
      </w:pPr>
    </w:p>
    <w:p>
      <w:pPr>
        <w:spacing w:after="0" w:line="360" w:lineRule="auto"/>
        <w:ind w:firstLine="567"/>
        <w:jc w:val="both"/>
        <w:rPr>
          <w:rFonts w:asciiTheme="majorBidi" w:hAnsiTheme="majorBidi" w:cstheme="majorBidi"/>
          <w:sz w:val="24"/>
          <w:szCs w:val="24"/>
        </w:rPr>
      </w:pP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1.1. Station de Mostaganem :</w:t>
      </w:r>
    </w:p>
    <w:p>
      <w:pPr>
        <w:spacing w:after="0" w:line="360" w:lineRule="auto"/>
        <w:jc w:val="both"/>
        <w:rPr>
          <w:rFonts w:asciiTheme="majorBidi" w:hAnsiTheme="majorBidi" w:cstheme="majorBidi"/>
          <w:sz w:val="24"/>
          <w:szCs w:val="24"/>
        </w:rPr>
      </w:pPr>
      <w:r>
        <w:rPr>
          <w:rFonts w:asciiTheme="majorBidi" w:hAnsiTheme="majorBidi" w:cstheme="majorBidi"/>
          <w:sz w:val="24"/>
          <w:szCs w:val="24"/>
        </w:rPr>
        <w:t>La région de Mostaganem se caractérise par une pluviométrie qui varie entre 390 à 450mm.</w:t>
      </w:r>
    </w:p>
    <w:p>
      <w:pPr>
        <w:spacing w:line="360" w:lineRule="auto"/>
        <w:jc w:val="both"/>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6006465" cy="2552700"/>
            <wp:effectExtent l="53975" t="53975" r="111760" b="1111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036954" cy="256540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line="360" w:lineRule="auto"/>
        <w:jc w:val="center"/>
        <w:rPr>
          <w:rFonts w:asciiTheme="majorBidi" w:hAnsiTheme="majorBidi" w:cstheme="majorBidi"/>
          <w:sz w:val="24"/>
          <w:szCs w:val="24"/>
        </w:rPr>
      </w:pPr>
      <w:r>
        <w:rPr>
          <w:rFonts w:asciiTheme="majorBidi" w:hAnsiTheme="majorBidi" w:cstheme="majorBidi"/>
          <w:sz w:val="24"/>
          <w:szCs w:val="24"/>
        </w:rPr>
        <w:t>Fig n</w:t>
      </w:r>
      <w:r>
        <w:rPr>
          <w:rFonts w:asciiTheme="majorBidi" w:hAnsiTheme="majorBidi" w:cstheme="majorBidi"/>
          <w:sz w:val="24"/>
          <w:szCs w:val="24"/>
          <w:vertAlign w:val="superscript"/>
        </w:rPr>
        <w:t>°</w:t>
      </w:r>
      <w:r>
        <w:rPr>
          <w:rFonts w:asciiTheme="majorBidi" w:hAnsiTheme="majorBidi" w:cstheme="majorBidi"/>
          <w:sz w:val="24"/>
          <w:szCs w:val="24"/>
        </w:rPr>
        <w:t xml:space="preserve"> 10 : carte pluviométrique de la région de Mostaganem (ANRH, 2012)</w:t>
      </w:r>
    </w:p>
    <w:p>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1.1.1. Précipitations moyennes annuelles (1989 – 2008):</w:t>
      </w:r>
    </w:p>
    <w:p>
      <w:pPr>
        <w:spacing w:line="360" w:lineRule="auto"/>
        <w:rPr>
          <w:rFonts w:asciiTheme="majorBidi" w:hAnsiTheme="majorBidi" w:cstheme="majorBidi"/>
          <w:b/>
          <w:bCs/>
          <w:sz w:val="24"/>
          <w:szCs w:val="24"/>
        </w:rPr>
      </w:pPr>
      <w:r>
        <w:rPr>
          <w:rFonts w:asciiTheme="majorBidi" w:hAnsiTheme="majorBidi" w:cstheme="majorBidi"/>
          <w:sz w:val="24"/>
          <w:szCs w:val="24"/>
        </w:rPr>
        <w:t xml:space="preserve">Les données du (Tableau n°03) et du diagramme de la (Fig n°11).illustre la distribution des précipitations moyennes annuelles à la station de Mostaganem </w:t>
      </w:r>
    </w:p>
    <w:p>
      <w:pPr>
        <w:spacing w:line="360" w:lineRule="auto"/>
        <w:jc w:val="center"/>
        <w:rPr>
          <w:rFonts w:asciiTheme="majorBidi" w:hAnsiTheme="majorBidi" w:cstheme="majorBidi"/>
          <w:sz w:val="24"/>
          <w:szCs w:val="24"/>
        </w:rPr>
      </w:pPr>
      <w:r>
        <w:rPr>
          <w:rFonts w:asciiTheme="majorBidi" w:hAnsiTheme="majorBidi" w:cstheme="majorBidi"/>
          <w:sz w:val="24"/>
          <w:szCs w:val="24"/>
        </w:rPr>
        <w:t>Tableau n°03 : Les variations de la précipitation annuelle de la station de Mostaganem  (1989-2008).</w:t>
      </w:r>
    </w:p>
    <w:tbl>
      <w:tblPr>
        <w:tblStyle w:val="11"/>
        <w:tblW w:w="955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B0F0"/>
        <w:tblLayout w:type="autofit"/>
        <w:tblCellMar>
          <w:top w:w="0" w:type="dxa"/>
          <w:left w:w="108" w:type="dxa"/>
          <w:bottom w:w="0" w:type="dxa"/>
          <w:right w:w="108" w:type="dxa"/>
        </w:tblCellMar>
      </w:tblPr>
      <w:tblGrid>
        <w:gridCol w:w="975"/>
        <w:gridCol w:w="915"/>
        <w:gridCol w:w="915"/>
        <w:gridCol w:w="802"/>
        <w:gridCol w:w="1001"/>
        <w:gridCol w:w="756"/>
        <w:gridCol w:w="877"/>
        <w:gridCol w:w="756"/>
        <w:gridCol w:w="756"/>
        <w:gridCol w:w="1001"/>
        <w:gridCol w:w="7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B0F0"/>
          <w:tblCellMar>
            <w:top w:w="0" w:type="dxa"/>
            <w:left w:w="108" w:type="dxa"/>
            <w:bottom w:w="0" w:type="dxa"/>
            <w:right w:w="108" w:type="dxa"/>
          </w:tblCellMar>
        </w:tblPrEx>
        <w:trPr>
          <w:trHeight w:val="569" w:hRule="atLeast"/>
        </w:trPr>
        <w:tc>
          <w:tcPr>
            <w:tcW w:w="975"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Années</w:t>
            </w:r>
          </w:p>
        </w:tc>
        <w:tc>
          <w:tcPr>
            <w:tcW w:w="916"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1989</w:t>
            </w:r>
          </w:p>
        </w:tc>
        <w:tc>
          <w:tcPr>
            <w:tcW w:w="916"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1990</w:t>
            </w:r>
          </w:p>
        </w:tc>
        <w:tc>
          <w:tcPr>
            <w:tcW w:w="802"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1991</w:t>
            </w:r>
          </w:p>
        </w:tc>
        <w:tc>
          <w:tcPr>
            <w:tcW w:w="1003"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1992</w:t>
            </w:r>
          </w:p>
        </w:tc>
        <w:tc>
          <w:tcPr>
            <w:tcW w:w="754"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1993</w:t>
            </w:r>
          </w:p>
        </w:tc>
        <w:tc>
          <w:tcPr>
            <w:tcW w:w="878"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1994</w:t>
            </w:r>
          </w:p>
        </w:tc>
        <w:tc>
          <w:tcPr>
            <w:tcW w:w="754"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1995</w:t>
            </w:r>
          </w:p>
        </w:tc>
        <w:tc>
          <w:tcPr>
            <w:tcW w:w="753"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1996</w:t>
            </w:r>
          </w:p>
        </w:tc>
        <w:tc>
          <w:tcPr>
            <w:tcW w:w="1003"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1997</w:t>
            </w:r>
          </w:p>
        </w:tc>
        <w:tc>
          <w:tcPr>
            <w:tcW w:w="798"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975"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P (mm)</w:t>
            </w:r>
          </w:p>
        </w:tc>
        <w:tc>
          <w:tcPr>
            <w:tcW w:w="916"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137,2</w:t>
            </w:r>
          </w:p>
        </w:tc>
        <w:tc>
          <w:tcPr>
            <w:tcW w:w="916"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347,7</w:t>
            </w:r>
          </w:p>
        </w:tc>
        <w:tc>
          <w:tcPr>
            <w:tcW w:w="802"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398,4</w:t>
            </w:r>
          </w:p>
        </w:tc>
        <w:tc>
          <w:tcPr>
            <w:tcW w:w="1003"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284,2</w:t>
            </w:r>
          </w:p>
        </w:tc>
        <w:tc>
          <w:tcPr>
            <w:tcW w:w="754"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324,2</w:t>
            </w:r>
          </w:p>
        </w:tc>
        <w:tc>
          <w:tcPr>
            <w:tcW w:w="878"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219,8</w:t>
            </w:r>
          </w:p>
        </w:tc>
        <w:tc>
          <w:tcPr>
            <w:tcW w:w="754"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353,7</w:t>
            </w:r>
          </w:p>
        </w:tc>
        <w:tc>
          <w:tcPr>
            <w:tcW w:w="753"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487,6</w:t>
            </w:r>
          </w:p>
        </w:tc>
        <w:tc>
          <w:tcPr>
            <w:tcW w:w="1003"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423,3</w:t>
            </w:r>
          </w:p>
        </w:tc>
        <w:tc>
          <w:tcPr>
            <w:tcW w:w="798"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298,5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975"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Années</w:t>
            </w:r>
          </w:p>
        </w:tc>
        <w:tc>
          <w:tcPr>
            <w:tcW w:w="916"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1999</w:t>
            </w:r>
          </w:p>
        </w:tc>
        <w:tc>
          <w:tcPr>
            <w:tcW w:w="916"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2000</w:t>
            </w:r>
          </w:p>
        </w:tc>
        <w:tc>
          <w:tcPr>
            <w:tcW w:w="802"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2001</w:t>
            </w:r>
          </w:p>
        </w:tc>
        <w:tc>
          <w:tcPr>
            <w:tcW w:w="1003"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2002</w:t>
            </w:r>
          </w:p>
        </w:tc>
        <w:tc>
          <w:tcPr>
            <w:tcW w:w="754"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2003</w:t>
            </w:r>
          </w:p>
        </w:tc>
        <w:tc>
          <w:tcPr>
            <w:tcW w:w="878"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2004</w:t>
            </w:r>
          </w:p>
        </w:tc>
        <w:tc>
          <w:tcPr>
            <w:tcW w:w="754"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2005</w:t>
            </w:r>
          </w:p>
        </w:tc>
        <w:tc>
          <w:tcPr>
            <w:tcW w:w="753"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2006</w:t>
            </w:r>
          </w:p>
        </w:tc>
        <w:tc>
          <w:tcPr>
            <w:tcW w:w="1003"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2007</w:t>
            </w:r>
          </w:p>
        </w:tc>
        <w:tc>
          <w:tcPr>
            <w:tcW w:w="798"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975" w:type="dxa"/>
            <w:shd w:val="clear" w:color="auto" w:fill="00B0F0"/>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P (mm)</w:t>
            </w:r>
          </w:p>
        </w:tc>
        <w:tc>
          <w:tcPr>
            <w:tcW w:w="916"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428</w:t>
            </w:r>
          </w:p>
        </w:tc>
        <w:tc>
          <w:tcPr>
            <w:tcW w:w="916"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420,1</w:t>
            </w:r>
          </w:p>
        </w:tc>
        <w:tc>
          <w:tcPr>
            <w:tcW w:w="802"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548,1</w:t>
            </w:r>
          </w:p>
        </w:tc>
        <w:tc>
          <w:tcPr>
            <w:tcW w:w="1003"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310,4</w:t>
            </w:r>
          </w:p>
        </w:tc>
        <w:tc>
          <w:tcPr>
            <w:tcW w:w="754"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442,9</w:t>
            </w:r>
          </w:p>
        </w:tc>
        <w:tc>
          <w:tcPr>
            <w:tcW w:w="878"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492,7</w:t>
            </w:r>
          </w:p>
        </w:tc>
        <w:tc>
          <w:tcPr>
            <w:tcW w:w="754"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329,2</w:t>
            </w:r>
          </w:p>
        </w:tc>
        <w:tc>
          <w:tcPr>
            <w:tcW w:w="753"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608,4</w:t>
            </w:r>
          </w:p>
        </w:tc>
        <w:tc>
          <w:tcPr>
            <w:tcW w:w="1003"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455,8</w:t>
            </w:r>
          </w:p>
        </w:tc>
        <w:tc>
          <w:tcPr>
            <w:tcW w:w="798" w:type="dxa"/>
            <w:shd w:val="clear" w:color="auto" w:fill="auto"/>
            <w:vAlign w:val="center"/>
          </w:tcPr>
          <w:p>
            <w:pPr>
              <w:spacing w:after="0" w:line="360" w:lineRule="auto"/>
              <w:jc w:val="both"/>
              <w:rPr>
                <w:rFonts w:asciiTheme="majorBidi" w:hAnsiTheme="majorBidi" w:cstheme="majorBidi"/>
                <w:sz w:val="24"/>
                <w:szCs w:val="24"/>
              </w:rPr>
            </w:pPr>
            <w:r>
              <w:rPr>
                <w:rFonts w:asciiTheme="majorBidi" w:hAnsiTheme="majorBidi" w:cstheme="majorBidi"/>
                <w:sz w:val="24"/>
                <w:szCs w:val="24"/>
              </w:rPr>
              <w:t>473,9</w:t>
            </w:r>
          </w:p>
        </w:tc>
      </w:tr>
    </w:tbl>
    <w:p>
      <w:pPr>
        <w:tabs>
          <w:tab w:val="left" w:pos="1650"/>
        </w:tabs>
        <w:spacing w:line="360" w:lineRule="auto"/>
        <w:ind w:left="-567"/>
        <w:jc w:val="right"/>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5638800" cy="3619500"/>
            <wp:effectExtent l="12700" t="12700" r="12700" b="12700"/>
            <wp:docPr id="8"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pPr>
        <w:tabs>
          <w:tab w:val="left" w:pos="1380"/>
        </w:tabs>
        <w:spacing w:line="360" w:lineRule="auto"/>
        <w:jc w:val="center"/>
        <w:rPr>
          <w:rFonts w:asciiTheme="majorBidi" w:hAnsiTheme="majorBidi" w:cstheme="majorBidi"/>
          <w:sz w:val="24"/>
          <w:szCs w:val="24"/>
        </w:rPr>
      </w:pPr>
      <w:r>
        <w:rPr>
          <w:rFonts w:asciiTheme="majorBidi" w:hAnsiTheme="majorBidi" w:cstheme="majorBidi"/>
          <w:sz w:val="24"/>
          <w:szCs w:val="24"/>
        </w:rPr>
        <w:t>Fig n° 11: variation interannuelle des précipitations de la station de Mostaganem (1989_2008).</w:t>
      </w:r>
    </w:p>
    <w:p>
      <w:pPr>
        <w:autoSpaceDE w:val="0"/>
        <w:autoSpaceDN w:val="0"/>
        <w:adjustRightInd w:val="0"/>
        <w:spacing w:after="0" w:line="360" w:lineRule="auto"/>
        <w:rPr>
          <w:rFonts w:asciiTheme="majorBidi" w:hAnsiTheme="majorBidi" w:cstheme="majorBidi"/>
          <w:sz w:val="24"/>
          <w:szCs w:val="24"/>
        </w:rPr>
      </w:pPr>
      <w:r>
        <w:rPr>
          <w:rFonts w:asciiTheme="majorBidi" w:hAnsiTheme="majorBidi" w:cstheme="majorBidi"/>
          <w:sz w:val="24"/>
          <w:szCs w:val="24"/>
        </w:rPr>
        <w:t>Selon la (figure 11) : les pluies varient d’une année à l’autre, nous remarquons que l’année 1989 et 1994 sont particulièrement déficitaire par rapport aux autre ; alors que les années 1997 et 2001,2007 sont les plus pluvieuses.</w:t>
      </w:r>
    </w:p>
    <w:p>
      <w:pPr>
        <w:tabs>
          <w:tab w:val="left" w:pos="138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1.1.2. Précipitations moyennes mensuelles de la station de Mostaganem (1989 _ 2008).</w:t>
      </w:r>
    </w:p>
    <w:p>
      <w:pPr>
        <w:tabs>
          <w:tab w:val="left" w:pos="1380"/>
        </w:tabs>
        <w:spacing w:after="0" w:line="360" w:lineRule="auto"/>
        <w:jc w:val="both"/>
        <w:rPr>
          <w:rFonts w:asciiTheme="majorBidi" w:hAnsiTheme="majorBidi" w:cstheme="majorBidi"/>
          <w:b/>
          <w:bCs/>
          <w:sz w:val="24"/>
          <w:szCs w:val="24"/>
        </w:rPr>
      </w:pPr>
      <w:r>
        <w:rPr>
          <w:rFonts w:asciiTheme="majorBidi" w:hAnsiTheme="majorBidi" w:cstheme="majorBidi"/>
          <w:sz w:val="24"/>
          <w:szCs w:val="24"/>
        </w:rPr>
        <w:t>Pour mieux caractériser le régime climatique de la région, nous avons étudié la répartition des précipitations à l’échelle mensuelle sur une période allant de 1989 à 2008</w:t>
      </w:r>
    </w:p>
    <w:p>
      <w:pPr>
        <w:tabs>
          <w:tab w:val="left" w:pos="1380"/>
        </w:tabs>
        <w:spacing w:after="0" w:line="360" w:lineRule="auto"/>
        <w:jc w:val="right"/>
        <w:rPr>
          <w:rFonts w:asciiTheme="majorBidi" w:hAnsiTheme="majorBidi" w:cstheme="majorBidi"/>
          <w:sz w:val="24"/>
          <w:szCs w:val="24"/>
        </w:rPr>
      </w:pPr>
      <w:r>
        <w:rPr>
          <w:rFonts w:asciiTheme="majorBidi" w:hAnsiTheme="majorBidi" w:cstheme="majorBidi"/>
          <w:sz w:val="24"/>
          <w:szCs w:val="24"/>
        </w:rPr>
        <w:t>Tableau n°04 : variations des précipitations mensuelles période (1989 – 2008).</w:t>
      </w:r>
    </w:p>
    <w:tbl>
      <w:tblPr>
        <w:tblStyle w:val="11"/>
        <w:tblW w:w="910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666"/>
        <w:gridCol w:w="666"/>
        <w:gridCol w:w="666"/>
        <w:gridCol w:w="666"/>
        <w:gridCol w:w="666"/>
        <w:gridCol w:w="666"/>
        <w:gridCol w:w="666"/>
        <w:gridCol w:w="666"/>
        <w:gridCol w:w="666"/>
        <w:gridCol w:w="566"/>
        <w:gridCol w:w="566"/>
        <w:gridCol w:w="616"/>
        <w:gridCol w:w="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656"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Mois</w:t>
            </w:r>
          </w:p>
        </w:tc>
        <w:tc>
          <w:tcPr>
            <w:tcW w:w="662"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Sep</w:t>
            </w:r>
          </w:p>
        </w:tc>
        <w:tc>
          <w:tcPr>
            <w:tcW w:w="662"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Oct</w:t>
            </w:r>
          </w:p>
        </w:tc>
        <w:tc>
          <w:tcPr>
            <w:tcW w:w="662"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Nov</w:t>
            </w:r>
          </w:p>
        </w:tc>
        <w:tc>
          <w:tcPr>
            <w:tcW w:w="662"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Déc</w:t>
            </w:r>
          </w:p>
        </w:tc>
        <w:tc>
          <w:tcPr>
            <w:tcW w:w="662"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Jan</w:t>
            </w:r>
          </w:p>
        </w:tc>
        <w:tc>
          <w:tcPr>
            <w:tcW w:w="662"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Fév</w:t>
            </w:r>
          </w:p>
        </w:tc>
        <w:tc>
          <w:tcPr>
            <w:tcW w:w="662"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Mar</w:t>
            </w:r>
          </w:p>
        </w:tc>
        <w:tc>
          <w:tcPr>
            <w:tcW w:w="662"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Avr</w:t>
            </w:r>
          </w:p>
        </w:tc>
        <w:tc>
          <w:tcPr>
            <w:tcW w:w="662"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Mai</w:t>
            </w:r>
          </w:p>
        </w:tc>
        <w:tc>
          <w:tcPr>
            <w:tcW w:w="559"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Juin</w:t>
            </w:r>
          </w:p>
        </w:tc>
        <w:tc>
          <w:tcPr>
            <w:tcW w:w="559"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Juil</w:t>
            </w:r>
          </w:p>
        </w:tc>
        <w:tc>
          <w:tcPr>
            <w:tcW w:w="611"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Aout</w:t>
            </w:r>
          </w:p>
        </w:tc>
        <w:tc>
          <w:tcPr>
            <w:tcW w:w="764"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Moy.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656" w:type="dxa"/>
            <w:shd w:val="clear" w:color="auto" w:fill="00B0F0"/>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P (mm)</w:t>
            </w:r>
          </w:p>
        </w:tc>
        <w:tc>
          <w:tcPr>
            <w:tcW w:w="662"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25.57</w:t>
            </w:r>
          </w:p>
        </w:tc>
        <w:tc>
          <w:tcPr>
            <w:tcW w:w="662"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32.72</w:t>
            </w:r>
          </w:p>
        </w:tc>
        <w:tc>
          <w:tcPr>
            <w:tcW w:w="662"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71.43</w:t>
            </w:r>
          </w:p>
        </w:tc>
        <w:tc>
          <w:tcPr>
            <w:tcW w:w="662"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56.73</w:t>
            </w:r>
          </w:p>
        </w:tc>
        <w:tc>
          <w:tcPr>
            <w:tcW w:w="662"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46.65</w:t>
            </w:r>
          </w:p>
        </w:tc>
        <w:tc>
          <w:tcPr>
            <w:tcW w:w="662"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48.91</w:t>
            </w:r>
          </w:p>
        </w:tc>
        <w:tc>
          <w:tcPr>
            <w:tcW w:w="662"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39.03</w:t>
            </w:r>
          </w:p>
        </w:tc>
        <w:tc>
          <w:tcPr>
            <w:tcW w:w="662"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37.18</w:t>
            </w:r>
          </w:p>
        </w:tc>
        <w:tc>
          <w:tcPr>
            <w:tcW w:w="662"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25.56</w:t>
            </w:r>
          </w:p>
        </w:tc>
        <w:tc>
          <w:tcPr>
            <w:tcW w:w="559"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4.72</w:t>
            </w:r>
          </w:p>
        </w:tc>
        <w:tc>
          <w:tcPr>
            <w:tcW w:w="559"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2.04</w:t>
            </w:r>
          </w:p>
        </w:tc>
        <w:tc>
          <w:tcPr>
            <w:tcW w:w="611"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3.60</w:t>
            </w:r>
          </w:p>
        </w:tc>
        <w:tc>
          <w:tcPr>
            <w:tcW w:w="764" w:type="dxa"/>
            <w:vAlign w:val="center"/>
          </w:tcPr>
          <w:p>
            <w:pPr>
              <w:pStyle w:val="10"/>
              <w:spacing w:after="0" w:line="360" w:lineRule="auto"/>
              <w:ind w:left="0"/>
              <w:jc w:val="center"/>
              <w:rPr>
                <w:rFonts w:ascii="Times New Roman" w:hAnsi="Times New Roman" w:cs="Times New Roman"/>
                <w:sz w:val="20"/>
                <w:szCs w:val="20"/>
              </w:rPr>
            </w:pPr>
            <w:r>
              <w:rPr>
                <w:rFonts w:ascii="Times New Roman" w:hAnsi="Times New Roman" w:cs="Times New Roman"/>
                <w:sz w:val="20"/>
                <w:szCs w:val="20"/>
              </w:rPr>
              <w:t>394.14</w:t>
            </w:r>
          </w:p>
        </w:tc>
      </w:tr>
    </w:tbl>
    <w:p>
      <w:pPr>
        <w:tabs>
          <w:tab w:val="left" w:pos="1380"/>
        </w:tabs>
        <w:spacing w:line="360" w:lineRule="auto"/>
        <w:jc w:val="both"/>
        <w:rPr>
          <w:rFonts w:asciiTheme="majorBidi" w:hAnsiTheme="majorBidi" w:cstheme="majorBidi"/>
          <w:b/>
          <w:bCs/>
          <w:sz w:val="24"/>
          <w:szCs w:val="24"/>
        </w:rPr>
      </w:pPr>
    </w:p>
    <w:p>
      <w:pPr>
        <w:tabs>
          <w:tab w:val="left" w:pos="1380"/>
        </w:tabs>
        <w:spacing w:line="360" w:lineRule="auto"/>
        <w:jc w:val="center"/>
        <w:rPr>
          <w:rFonts w:asciiTheme="majorBidi" w:hAnsiTheme="majorBidi" w:cstheme="majorBidi"/>
          <w:b/>
          <w:bCs/>
          <w:sz w:val="24"/>
          <w:szCs w:val="24"/>
        </w:rPr>
      </w:pPr>
      <w:r>
        <w:rPr>
          <w:rFonts w:asciiTheme="majorBidi" w:hAnsiTheme="majorBidi" w:cstheme="majorBidi"/>
          <w:b/>
          <w:bCs/>
          <w:sz w:val="24"/>
          <w:szCs w:val="24"/>
          <w:lang w:eastAsia="fr-FR"/>
        </w:rPr>
        <w:drawing>
          <wp:inline distT="0" distB="0" distL="0" distR="0">
            <wp:extent cx="5048250" cy="2743200"/>
            <wp:effectExtent l="12700" t="12700" r="19050" b="12700"/>
            <wp:docPr id="12"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pPr>
        <w:tabs>
          <w:tab w:val="left" w:pos="1380"/>
        </w:tabs>
        <w:spacing w:line="360" w:lineRule="auto"/>
        <w:jc w:val="center"/>
        <w:rPr>
          <w:rFonts w:asciiTheme="majorBidi" w:hAnsiTheme="majorBidi" w:cstheme="majorBidi"/>
          <w:sz w:val="24"/>
          <w:szCs w:val="24"/>
        </w:rPr>
      </w:pPr>
      <w:r>
        <w:rPr>
          <w:rFonts w:asciiTheme="majorBidi" w:hAnsiTheme="majorBidi" w:cstheme="majorBidi"/>
          <w:sz w:val="24"/>
          <w:szCs w:val="24"/>
        </w:rPr>
        <w:t>Fig n°12 : Répartition  mensuelles des précipitations (station de Mostaganem 1989 – 2008).</w:t>
      </w:r>
    </w:p>
    <w:p>
      <w:pPr>
        <w:tabs>
          <w:tab w:val="left" w:pos="1380"/>
        </w:tabs>
        <w:spacing w:line="360" w:lineRule="auto"/>
        <w:rPr>
          <w:rFonts w:asciiTheme="majorBidi" w:hAnsiTheme="majorBidi" w:cstheme="majorBidi"/>
          <w:sz w:val="24"/>
          <w:szCs w:val="24"/>
        </w:rPr>
      </w:pPr>
      <w:r>
        <w:rPr>
          <w:rFonts w:asciiTheme="majorBidi" w:hAnsiTheme="majorBidi" w:cstheme="majorBidi"/>
          <w:sz w:val="24"/>
          <w:szCs w:val="24"/>
        </w:rPr>
        <w:t xml:space="preserve">Les maximum des débutes des moins septembre avec un maximum de moins novembre mais diminué de moins du Mais jusqu’au moins du Juin avec 0,15 mm. </w:t>
      </w:r>
    </w:p>
    <w:p>
      <w:pPr>
        <w:tabs>
          <w:tab w:val="left" w:pos="138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1.2. Station d’Oued Kramis</w:t>
      </w:r>
    </w:p>
    <w:p>
      <w:pPr>
        <w:tabs>
          <w:tab w:val="left" w:pos="1380"/>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Pour la station d’Oued Kramis nous n’avons disposé que des données des précipitations moyennes mensuelles pour la période 1989-2008 </w:t>
      </w:r>
    </w:p>
    <w:p>
      <w:pPr>
        <w:tabs>
          <w:tab w:val="left" w:pos="138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1.2.1. Précipitations moyennes mensuelles  </w:t>
      </w:r>
    </w:p>
    <w:p>
      <w:pPr>
        <w:tabs>
          <w:tab w:val="left" w:pos="1380"/>
        </w:tabs>
        <w:spacing w:after="0" w:line="360" w:lineRule="auto"/>
        <w:jc w:val="both"/>
        <w:rPr>
          <w:rFonts w:asciiTheme="majorBidi" w:hAnsiTheme="majorBidi" w:cstheme="majorBidi"/>
          <w:sz w:val="24"/>
          <w:szCs w:val="24"/>
        </w:rPr>
      </w:pPr>
      <w:r>
        <w:rPr>
          <w:rFonts w:asciiTheme="majorBidi" w:hAnsiTheme="majorBidi" w:cstheme="majorBidi"/>
          <w:sz w:val="24"/>
          <w:szCs w:val="24"/>
        </w:rPr>
        <w:t>Le tableau n°05 et l’histogramme de la figure n°13 montrent la distribution des précipitations moyennes mensuelles à la station d’Oued Kramis</w:t>
      </w:r>
    </w:p>
    <w:p>
      <w:pPr>
        <w:tabs>
          <w:tab w:val="left" w:pos="1380"/>
        </w:tabs>
        <w:spacing w:after="0" w:line="360" w:lineRule="auto"/>
        <w:jc w:val="both"/>
        <w:rPr>
          <w:rFonts w:asciiTheme="majorBidi" w:hAnsiTheme="majorBidi" w:cstheme="majorBidi"/>
          <w:sz w:val="24"/>
          <w:szCs w:val="24"/>
        </w:rPr>
      </w:pPr>
    </w:p>
    <w:p>
      <w:pPr>
        <w:tabs>
          <w:tab w:val="left" w:pos="1380"/>
        </w:tabs>
        <w:spacing w:after="120" w:line="360" w:lineRule="auto"/>
        <w:jc w:val="center"/>
        <w:rPr>
          <w:rFonts w:asciiTheme="majorBidi" w:hAnsiTheme="majorBidi" w:cstheme="majorBidi"/>
          <w:sz w:val="24"/>
          <w:szCs w:val="24"/>
        </w:rPr>
      </w:pPr>
      <w:r>
        <w:rPr>
          <w:rFonts w:asciiTheme="majorBidi" w:hAnsiTheme="majorBidi" w:cstheme="majorBidi"/>
          <w:sz w:val="24"/>
          <w:szCs w:val="24"/>
        </w:rPr>
        <w:t>Tableau n° 05: Les variations des précipitations mensuelles de station d’oued kramis  (1989-2008).</w:t>
      </w:r>
    </w:p>
    <w:tbl>
      <w:tblPr>
        <w:tblStyle w:val="11"/>
        <w:tblW w:w="97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708"/>
        <w:gridCol w:w="708"/>
        <w:gridCol w:w="708"/>
        <w:gridCol w:w="708"/>
        <w:gridCol w:w="708"/>
        <w:gridCol w:w="708"/>
        <w:gridCol w:w="708"/>
        <w:gridCol w:w="708"/>
        <w:gridCol w:w="708"/>
        <w:gridCol w:w="595"/>
        <w:gridCol w:w="595"/>
        <w:gridCol w:w="595"/>
        <w:gridCol w:w="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727"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Mois</w:t>
            </w:r>
          </w:p>
        </w:tc>
        <w:tc>
          <w:tcPr>
            <w:tcW w:w="708"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S</w:t>
            </w:r>
          </w:p>
        </w:tc>
        <w:tc>
          <w:tcPr>
            <w:tcW w:w="708"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O</w:t>
            </w:r>
          </w:p>
        </w:tc>
        <w:tc>
          <w:tcPr>
            <w:tcW w:w="708"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N</w:t>
            </w:r>
          </w:p>
        </w:tc>
        <w:tc>
          <w:tcPr>
            <w:tcW w:w="708"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D</w:t>
            </w:r>
          </w:p>
        </w:tc>
        <w:tc>
          <w:tcPr>
            <w:tcW w:w="708"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J</w:t>
            </w:r>
          </w:p>
        </w:tc>
        <w:tc>
          <w:tcPr>
            <w:tcW w:w="708"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F</w:t>
            </w:r>
          </w:p>
        </w:tc>
        <w:tc>
          <w:tcPr>
            <w:tcW w:w="708"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M</w:t>
            </w:r>
          </w:p>
        </w:tc>
        <w:tc>
          <w:tcPr>
            <w:tcW w:w="708"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Av</w:t>
            </w:r>
          </w:p>
        </w:tc>
        <w:tc>
          <w:tcPr>
            <w:tcW w:w="708"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M</w:t>
            </w:r>
          </w:p>
        </w:tc>
        <w:tc>
          <w:tcPr>
            <w:tcW w:w="595"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J</w:t>
            </w:r>
          </w:p>
        </w:tc>
        <w:tc>
          <w:tcPr>
            <w:tcW w:w="595"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Ju</w:t>
            </w:r>
          </w:p>
        </w:tc>
        <w:tc>
          <w:tcPr>
            <w:tcW w:w="595"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A</w:t>
            </w:r>
          </w:p>
        </w:tc>
        <w:tc>
          <w:tcPr>
            <w:tcW w:w="820"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Année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trPr>
        <w:tc>
          <w:tcPr>
            <w:tcW w:w="727" w:type="dxa"/>
            <w:shd w:val="clear" w:color="auto" w:fill="00B0F0"/>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P (mm)</w:t>
            </w:r>
          </w:p>
        </w:tc>
        <w:tc>
          <w:tcPr>
            <w:tcW w:w="708"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14,13</w:t>
            </w:r>
          </w:p>
        </w:tc>
        <w:tc>
          <w:tcPr>
            <w:tcW w:w="708"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28,25</w:t>
            </w:r>
          </w:p>
        </w:tc>
        <w:tc>
          <w:tcPr>
            <w:tcW w:w="708"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50,00</w:t>
            </w:r>
          </w:p>
        </w:tc>
        <w:tc>
          <w:tcPr>
            <w:tcW w:w="708"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35,89</w:t>
            </w:r>
          </w:p>
        </w:tc>
        <w:tc>
          <w:tcPr>
            <w:tcW w:w="708"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36,15</w:t>
            </w:r>
          </w:p>
        </w:tc>
        <w:tc>
          <w:tcPr>
            <w:tcW w:w="708"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35,36</w:t>
            </w:r>
          </w:p>
        </w:tc>
        <w:tc>
          <w:tcPr>
            <w:tcW w:w="708"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28,01</w:t>
            </w:r>
          </w:p>
        </w:tc>
        <w:tc>
          <w:tcPr>
            <w:tcW w:w="708"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30,51</w:t>
            </w:r>
          </w:p>
        </w:tc>
        <w:tc>
          <w:tcPr>
            <w:tcW w:w="708"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21,68</w:t>
            </w:r>
          </w:p>
        </w:tc>
        <w:tc>
          <w:tcPr>
            <w:tcW w:w="595"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1,22</w:t>
            </w:r>
          </w:p>
        </w:tc>
        <w:tc>
          <w:tcPr>
            <w:tcW w:w="595"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0,15</w:t>
            </w:r>
          </w:p>
        </w:tc>
        <w:tc>
          <w:tcPr>
            <w:tcW w:w="595"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1,76</w:t>
            </w:r>
          </w:p>
        </w:tc>
        <w:tc>
          <w:tcPr>
            <w:tcW w:w="820" w:type="dxa"/>
            <w:shd w:val="clear" w:color="auto" w:fill="auto"/>
            <w:vAlign w:val="center"/>
          </w:tcPr>
          <w:p>
            <w:pPr>
              <w:spacing w:after="0" w:line="360" w:lineRule="auto"/>
              <w:jc w:val="center"/>
              <w:rPr>
                <w:rFonts w:asciiTheme="majorBidi" w:hAnsiTheme="majorBidi" w:cstheme="majorBidi"/>
                <w:b/>
                <w:bCs/>
                <w:sz w:val="20"/>
                <w:szCs w:val="20"/>
              </w:rPr>
            </w:pPr>
            <w:r>
              <w:rPr>
                <w:rFonts w:asciiTheme="majorBidi" w:hAnsiTheme="majorBidi" w:cstheme="majorBidi"/>
                <w:b/>
                <w:bCs/>
                <w:sz w:val="20"/>
                <w:szCs w:val="20"/>
              </w:rPr>
              <w:t>283,11</w:t>
            </w:r>
          </w:p>
        </w:tc>
      </w:tr>
    </w:tbl>
    <w:p>
      <w:pPr>
        <w:tabs>
          <w:tab w:val="left" w:pos="1620"/>
        </w:tabs>
        <w:spacing w:line="360" w:lineRule="auto"/>
        <w:jc w:val="both"/>
        <w:rPr>
          <w:rFonts w:asciiTheme="majorBidi" w:hAnsiTheme="majorBidi" w:cstheme="majorBidi"/>
          <w:sz w:val="24"/>
          <w:szCs w:val="24"/>
          <w:lang w:eastAsia="fr-FR"/>
        </w:rPr>
      </w:pPr>
    </w:p>
    <w:p>
      <w:pPr>
        <w:tabs>
          <w:tab w:val="left" w:pos="1620"/>
        </w:tabs>
        <w:spacing w:line="360" w:lineRule="auto"/>
        <w:jc w:val="center"/>
        <w:rPr>
          <w:rFonts w:asciiTheme="majorBidi" w:hAnsiTheme="majorBidi" w:cstheme="majorBidi"/>
          <w:sz w:val="24"/>
          <w:szCs w:val="24"/>
          <w:lang w:eastAsia="fr-FR"/>
        </w:rPr>
      </w:pPr>
      <w:r>
        <w:rPr>
          <w:rFonts w:asciiTheme="majorBidi" w:hAnsiTheme="majorBidi" w:cstheme="majorBidi"/>
          <w:sz w:val="24"/>
          <w:szCs w:val="24"/>
          <w:lang w:eastAsia="fr-FR"/>
        </w:rPr>
        <w:drawing>
          <wp:inline distT="0" distB="0" distL="0" distR="0">
            <wp:extent cx="4810125" cy="2828925"/>
            <wp:effectExtent l="12700" t="12700" r="15875" b="15875"/>
            <wp:docPr id="13"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pPr>
        <w:tabs>
          <w:tab w:val="left" w:pos="1215"/>
        </w:tabs>
        <w:spacing w:line="360" w:lineRule="auto"/>
        <w:jc w:val="center"/>
        <w:rPr>
          <w:rFonts w:asciiTheme="majorBidi" w:hAnsiTheme="majorBidi" w:cstheme="majorBidi"/>
          <w:sz w:val="24"/>
          <w:szCs w:val="24"/>
        </w:rPr>
      </w:pPr>
      <w:r>
        <w:rPr>
          <w:rFonts w:asciiTheme="majorBidi" w:hAnsiTheme="majorBidi" w:cstheme="majorBidi"/>
          <w:sz w:val="24"/>
          <w:szCs w:val="24"/>
        </w:rPr>
        <w:t>Fig n° 13 : Répartition mensuelles des précipitations (station d’Oued  kramis                     1989-2008).</w:t>
      </w:r>
    </w:p>
    <w:p>
      <w:pPr>
        <w:tabs>
          <w:tab w:val="left" w:pos="1215"/>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Pour les pluies mensuelles à la station d’Oued Kramis, la période excédentaire commence par le mois de Septembre jusqu’à le mois de Mai avec un maxima pendant le mois de Novembre (50,00 mm), et la période déficitaire commence par  le mois de Juin jusqu’à le mois d’Aout avec un minimum de 0,15 mm. Le module pluviométrique est de 283,11mm.</w:t>
      </w:r>
    </w:p>
    <w:p>
      <w:pPr>
        <w:tabs>
          <w:tab w:val="left" w:pos="1215"/>
        </w:tabs>
        <w:spacing w:after="0" w:line="360" w:lineRule="auto"/>
        <w:jc w:val="both"/>
        <w:rPr>
          <w:rFonts w:asciiTheme="majorBidi" w:hAnsiTheme="majorBidi" w:cstheme="majorBidi"/>
          <w:sz w:val="24"/>
          <w:szCs w:val="24"/>
        </w:rPr>
      </w:pPr>
      <w:r>
        <w:rPr>
          <w:rFonts w:asciiTheme="majorBidi" w:hAnsiTheme="majorBidi" w:cstheme="majorBidi"/>
          <w:b/>
          <w:bCs/>
          <w:sz w:val="24"/>
          <w:szCs w:val="24"/>
        </w:rPr>
        <w:t>2. Variation saisonnière des précipitations :</w:t>
      </w:r>
    </w:p>
    <w:p>
      <w:pPr>
        <w:tabs>
          <w:tab w:val="left" w:pos="1215"/>
        </w:tabs>
        <w:spacing w:after="0" w:line="360" w:lineRule="auto"/>
        <w:jc w:val="center"/>
        <w:rPr>
          <w:rFonts w:asciiTheme="majorBidi" w:hAnsiTheme="majorBidi" w:cstheme="majorBidi"/>
          <w:sz w:val="24"/>
          <w:szCs w:val="24"/>
        </w:rPr>
      </w:pPr>
      <w:r>
        <w:rPr>
          <w:rFonts w:asciiTheme="majorBidi" w:hAnsiTheme="majorBidi" w:cstheme="majorBidi"/>
          <w:sz w:val="24"/>
          <w:szCs w:val="24"/>
        </w:rPr>
        <w:t>Tableau n°06 : variation saisonnières des pluies  pour les deux stations étudiées en %.</w:t>
      </w:r>
    </w:p>
    <w:tbl>
      <w:tblPr>
        <w:tblStyle w:val="11"/>
        <w:tblW w:w="94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B0F0"/>
        <w:tblLayout w:type="autofit"/>
        <w:tblCellMar>
          <w:top w:w="0" w:type="dxa"/>
          <w:left w:w="108" w:type="dxa"/>
          <w:bottom w:w="0" w:type="dxa"/>
          <w:right w:w="108" w:type="dxa"/>
        </w:tblCellMar>
      </w:tblPr>
      <w:tblGrid>
        <w:gridCol w:w="2095"/>
        <w:gridCol w:w="1136"/>
        <w:gridCol w:w="1123"/>
        <w:gridCol w:w="1232"/>
        <w:gridCol w:w="1659"/>
        <w:gridCol w:w="22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B0F0"/>
          <w:tblCellMar>
            <w:top w:w="0" w:type="dxa"/>
            <w:left w:w="108" w:type="dxa"/>
            <w:bottom w:w="0" w:type="dxa"/>
            <w:right w:w="108" w:type="dxa"/>
          </w:tblCellMar>
        </w:tblPrEx>
        <w:trPr>
          <w:trHeight w:val="482" w:hRule="atLeast"/>
        </w:trPr>
        <w:tc>
          <w:tcPr>
            <w:tcW w:w="2095"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 xml:space="preserve">Station </w:t>
            </w:r>
          </w:p>
        </w:tc>
        <w:tc>
          <w:tcPr>
            <w:tcW w:w="1136"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 xml:space="preserve">AUT </w:t>
            </w:r>
          </w:p>
        </w:tc>
        <w:tc>
          <w:tcPr>
            <w:tcW w:w="1123"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 xml:space="preserve">HIV </w:t>
            </w:r>
          </w:p>
        </w:tc>
        <w:tc>
          <w:tcPr>
            <w:tcW w:w="1232"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 xml:space="preserve">PRI </w:t>
            </w:r>
          </w:p>
        </w:tc>
        <w:tc>
          <w:tcPr>
            <w:tcW w:w="1659"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 xml:space="preserve">ETE </w:t>
            </w:r>
          </w:p>
        </w:tc>
        <w:tc>
          <w:tcPr>
            <w:tcW w:w="2232"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Indices saisonniers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B0F0"/>
          <w:tblCellMar>
            <w:top w:w="0" w:type="dxa"/>
            <w:left w:w="108" w:type="dxa"/>
            <w:bottom w:w="0" w:type="dxa"/>
            <w:right w:w="108" w:type="dxa"/>
          </w:tblCellMar>
        </w:tblPrEx>
        <w:trPr>
          <w:trHeight w:val="482" w:hRule="atLeast"/>
        </w:trPr>
        <w:tc>
          <w:tcPr>
            <w:tcW w:w="2095"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Mostaganem</w:t>
            </w:r>
          </w:p>
        </w:tc>
        <w:tc>
          <w:tcPr>
            <w:tcW w:w="1136"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32.91</w:t>
            </w:r>
          </w:p>
        </w:tc>
        <w:tc>
          <w:tcPr>
            <w:tcW w:w="1123"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38.63</w:t>
            </w:r>
          </w:p>
        </w:tc>
        <w:tc>
          <w:tcPr>
            <w:tcW w:w="1232"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25.82</w:t>
            </w:r>
          </w:p>
        </w:tc>
        <w:tc>
          <w:tcPr>
            <w:tcW w:w="1659"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2.62</w:t>
            </w:r>
          </w:p>
        </w:tc>
        <w:tc>
          <w:tcPr>
            <w:tcW w:w="2232"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H.A.P.E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B0F0"/>
          <w:tblCellMar>
            <w:top w:w="0" w:type="dxa"/>
            <w:left w:w="108" w:type="dxa"/>
            <w:bottom w:w="0" w:type="dxa"/>
            <w:right w:w="108" w:type="dxa"/>
          </w:tblCellMar>
        </w:tblPrEx>
        <w:trPr>
          <w:trHeight w:val="506" w:hRule="atLeast"/>
        </w:trPr>
        <w:tc>
          <w:tcPr>
            <w:tcW w:w="2095"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Oued kramis</w:t>
            </w:r>
          </w:p>
        </w:tc>
        <w:tc>
          <w:tcPr>
            <w:tcW w:w="1136"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32.63</w:t>
            </w:r>
          </w:p>
        </w:tc>
        <w:tc>
          <w:tcPr>
            <w:tcW w:w="1123"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37.93</w:t>
            </w:r>
          </w:p>
        </w:tc>
        <w:tc>
          <w:tcPr>
            <w:tcW w:w="1232"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28.32</w:t>
            </w:r>
          </w:p>
        </w:tc>
        <w:tc>
          <w:tcPr>
            <w:tcW w:w="1659"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1.10</w:t>
            </w:r>
          </w:p>
        </w:tc>
        <w:tc>
          <w:tcPr>
            <w:tcW w:w="2232"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H.A.P.E</w:t>
            </w:r>
          </w:p>
        </w:tc>
      </w:tr>
    </w:tbl>
    <w:p>
      <w:pPr>
        <w:tabs>
          <w:tab w:val="left" w:pos="1005"/>
        </w:tabs>
        <w:spacing w:line="360" w:lineRule="auto"/>
        <w:jc w:val="both"/>
        <w:rPr>
          <w:rFonts w:asciiTheme="majorBidi" w:hAnsiTheme="majorBidi" w:cstheme="majorBidi"/>
          <w:color w:val="FF0000"/>
          <w:sz w:val="24"/>
          <w:szCs w:val="24"/>
        </w:rPr>
      </w:pPr>
    </w:p>
    <w:p>
      <w:pPr>
        <w:tabs>
          <w:tab w:val="left" w:pos="1005"/>
        </w:tabs>
        <w:spacing w:line="360" w:lineRule="auto"/>
        <w:jc w:val="center"/>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5514975" cy="2743200"/>
            <wp:effectExtent l="12700" t="12700" r="22225" b="12700"/>
            <wp:docPr id="14"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pPr>
        <w:tabs>
          <w:tab w:val="left" w:pos="1020"/>
        </w:tabs>
        <w:spacing w:line="360" w:lineRule="auto"/>
        <w:jc w:val="center"/>
        <w:rPr>
          <w:rFonts w:asciiTheme="majorBidi" w:hAnsiTheme="majorBidi" w:cstheme="majorBidi"/>
          <w:sz w:val="24"/>
          <w:szCs w:val="24"/>
        </w:rPr>
      </w:pPr>
      <w:r>
        <w:rPr>
          <w:rFonts w:asciiTheme="majorBidi" w:hAnsiTheme="majorBidi" w:cstheme="majorBidi"/>
          <w:sz w:val="24"/>
          <w:szCs w:val="24"/>
        </w:rPr>
        <w:t>Fig n° 14 : précipitations saisonnières des deux stations (1989-2008).</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Pour les deux stations étudiées, l’indice saisonnier est de type: H.A.P.E (hiver, automne, printemps, été) avec quelque petites différences entre les valeurs des stations considérées.</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3. Etude des températures : </w:t>
      </w:r>
    </w:p>
    <w:p>
      <w:pPr>
        <w:spacing w:after="0" w:line="360" w:lineRule="auto"/>
        <w:jc w:val="both"/>
        <w:rPr>
          <w:rFonts w:asciiTheme="majorBidi" w:hAnsiTheme="majorBidi" w:cstheme="majorBidi"/>
          <w:color w:val="FF0000"/>
          <w:sz w:val="24"/>
          <w:szCs w:val="24"/>
        </w:rPr>
      </w:pPr>
      <w:r>
        <w:rPr>
          <w:rFonts w:asciiTheme="majorBidi" w:hAnsiTheme="majorBidi" w:cstheme="majorBidi"/>
          <w:sz w:val="24"/>
          <w:szCs w:val="24"/>
        </w:rPr>
        <w:t>Nous avons utilisé les tempirature de la station de Mostaganem en l’absence d’autre station.</w:t>
      </w:r>
    </w:p>
    <w:tbl>
      <w:tblPr>
        <w:tblStyle w:val="8"/>
        <w:tblpPr w:leftFromText="141" w:rightFromText="141" w:vertAnchor="text" w:horzAnchor="margin" w:tblpY="670"/>
        <w:tblW w:w="9648" w:type="dxa"/>
        <w:tblInd w:w="0" w:type="dxa"/>
        <w:tblLayout w:type="autofit"/>
        <w:tblCellMar>
          <w:top w:w="0" w:type="dxa"/>
          <w:left w:w="70" w:type="dxa"/>
          <w:bottom w:w="0" w:type="dxa"/>
          <w:right w:w="70" w:type="dxa"/>
        </w:tblCellMar>
      </w:tblPr>
      <w:tblGrid>
        <w:gridCol w:w="1050"/>
        <w:gridCol w:w="680"/>
        <w:gridCol w:w="680"/>
        <w:gridCol w:w="680"/>
        <w:gridCol w:w="680"/>
        <w:gridCol w:w="680"/>
        <w:gridCol w:w="680"/>
        <w:gridCol w:w="714"/>
        <w:gridCol w:w="680"/>
        <w:gridCol w:w="680"/>
        <w:gridCol w:w="680"/>
        <w:gridCol w:w="687"/>
        <w:gridCol w:w="680"/>
        <w:gridCol w:w="727"/>
      </w:tblGrid>
      <w:tr>
        <w:tblPrEx>
          <w:tblCellMar>
            <w:top w:w="0" w:type="dxa"/>
            <w:left w:w="70" w:type="dxa"/>
            <w:bottom w:w="0" w:type="dxa"/>
            <w:right w:w="70" w:type="dxa"/>
          </w:tblCellMar>
        </w:tblPrEx>
        <w:trPr>
          <w:trHeight w:val="294" w:hRule="atLeast"/>
        </w:trPr>
        <w:tc>
          <w:tcPr>
            <w:tcW w:w="835" w:type="dxa"/>
            <w:tcBorders>
              <w:top w:val="single" w:color="auto" w:sz="8" w:space="0"/>
              <w:left w:val="single" w:color="auto" w:sz="8" w:space="0"/>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MOIS</w:t>
            </w:r>
          </w:p>
        </w:tc>
        <w:tc>
          <w:tcPr>
            <w:tcW w:w="695"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SEP</w:t>
            </w:r>
          </w:p>
        </w:tc>
        <w:tc>
          <w:tcPr>
            <w:tcW w:w="665"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OCT</w:t>
            </w:r>
          </w:p>
        </w:tc>
        <w:tc>
          <w:tcPr>
            <w:tcW w:w="666"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NOV</w:t>
            </w:r>
          </w:p>
        </w:tc>
        <w:tc>
          <w:tcPr>
            <w:tcW w:w="666"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DEC</w:t>
            </w:r>
          </w:p>
        </w:tc>
        <w:tc>
          <w:tcPr>
            <w:tcW w:w="666"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JAN</w:t>
            </w:r>
          </w:p>
        </w:tc>
        <w:tc>
          <w:tcPr>
            <w:tcW w:w="665"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FEV</w:t>
            </w:r>
          </w:p>
        </w:tc>
        <w:tc>
          <w:tcPr>
            <w:tcW w:w="666"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MAR</w:t>
            </w:r>
          </w:p>
        </w:tc>
        <w:tc>
          <w:tcPr>
            <w:tcW w:w="666"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AVR</w:t>
            </w:r>
          </w:p>
        </w:tc>
        <w:tc>
          <w:tcPr>
            <w:tcW w:w="666"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MAI</w:t>
            </w:r>
          </w:p>
        </w:tc>
        <w:tc>
          <w:tcPr>
            <w:tcW w:w="665"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JUI</w:t>
            </w:r>
          </w:p>
        </w:tc>
        <w:tc>
          <w:tcPr>
            <w:tcW w:w="666"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JUIL</w:t>
            </w:r>
          </w:p>
        </w:tc>
        <w:tc>
          <w:tcPr>
            <w:tcW w:w="666"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AOU</w:t>
            </w:r>
          </w:p>
        </w:tc>
        <w:tc>
          <w:tcPr>
            <w:tcW w:w="795" w:type="dxa"/>
            <w:tcBorders>
              <w:top w:val="single" w:color="auto" w:sz="8" w:space="0"/>
              <w:left w:val="nil"/>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MOY</w:t>
            </w:r>
          </w:p>
        </w:tc>
      </w:tr>
      <w:tr>
        <w:tblPrEx>
          <w:tblCellMar>
            <w:top w:w="0" w:type="dxa"/>
            <w:left w:w="70" w:type="dxa"/>
            <w:bottom w:w="0" w:type="dxa"/>
            <w:right w:w="70" w:type="dxa"/>
          </w:tblCellMar>
        </w:tblPrEx>
        <w:trPr>
          <w:trHeight w:val="294" w:hRule="atLeast"/>
        </w:trPr>
        <w:tc>
          <w:tcPr>
            <w:tcW w:w="835" w:type="dxa"/>
            <w:tcBorders>
              <w:top w:val="nil"/>
              <w:left w:val="single" w:color="auto" w:sz="8" w:space="0"/>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T min</w:t>
            </w:r>
          </w:p>
        </w:tc>
        <w:tc>
          <w:tcPr>
            <w:tcW w:w="69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17,68</w:t>
            </w:r>
          </w:p>
        </w:tc>
        <w:tc>
          <w:tcPr>
            <w:tcW w:w="66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14,37</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9,62</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7,48</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5,61</w:t>
            </w:r>
          </w:p>
        </w:tc>
        <w:tc>
          <w:tcPr>
            <w:tcW w:w="66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6,34</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7,8</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9,56</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13,24</w:t>
            </w:r>
          </w:p>
        </w:tc>
        <w:tc>
          <w:tcPr>
            <w:tcW w:w="66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16,73</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19,43</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20,32</w:t>
            </w:r>
          </w:p>
        </w:tc>
        <w:tc>
          <w:tcPr>
            <w:tcW w:w="79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12,34</w:t>
            </w:r>
          </w:p>
        </w:tc>
      </w:tr>
      <w:tr>
        <w:tblPrEx>
          <w:tblCellMar>
            <w:top w:w="0" w:type="dxa"/>
            <w:left w:w="70" w:type="dxa"/>
            <w:bottom w:w="0" w:type="dxa"/>
            <w:right w:w="70" w:type="dxa"/>
          </w:tblCellMar>
        </w:tblPrEx>
        <w:trPr>
          <w:trHeight w:val="294" w:hRule="atLeast"/>
        </w:trPr>
        <w:tc>
          <w:tcPr>
            <w:tcW w:w="835" w:type="dxa"/>
            <w:tcBorders>
              <w:top w:val="nil"/>
              <w:left w:val="single" w:color="auto" w:sz="8" w:space="0"/>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T Max</w:t>
            </w:r>
          </w:p>
        </w:tc>
        <w:tc>
          <w:tcPr>
            <w:tcW w:w="69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28,47</w:t>
            </w:r>
          </w:p>
        </w:tc>
        <w:tc>
          <w:tcPr>
            <w:tcW w:w="66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24,85</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19,66</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17,05</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16,16</w:t>
            </w:r>
          </w:p>
        </w:tc>
        <w:tc>
          <w:tcPr>
            <w:tcW w:w="66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17,04</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19,14</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20,85</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23,78</w:t>
            </w:r>
          </w:p>
        </w:tc>
        <w:tc>
          <w:tcPr>
            <w:tcW w:w="66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28,09</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31,34</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32,12</w:t>
            </w:r>
          </w:p>
        </w:tc>
        <w:tc>
          <w:tcPr>
            <w:tcW w:w="79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23,21</w:t>
            </w:r>
          </w:p>
        </w:tc>
      </w:tr>
      <w:tr>
        <w:tblPrEx>
          <w:tblCellMar>
            <w:top w:w="0" w:type="dxa"/>
            <w:left w:w="70" w:type="dxa"/>
            <w:bottom w:w="0" w:type="dxa"/>
            <w:right w:w="70" w:type="dxa"/>
          </w:tblCellMar>
        </w:tblPrEx>
        <w:trPr>
          <w:trHeight w:val="294" w:hRule="atLeast"/>
        </w:trPr>
        <w:tc>
          <w:tcPr>
            <w:tcW w:w="835" w:type="dxa"/>
            <w:tcBorders>
              <w:top w:val="nil"/>
              <w:left w:val="single" w:color="auto" w:sz="8" w:space="0"/>
              <w:bottom w:val="single" w:color="auto" w:sz="8" w:space="0"/>
              <w:right w:val="single" w:color="auto" w:sz="8" w:space="0"/>
            </w:tcBorders>
            <w:shd w:val="clear" w:color="auto" w:fill="00B0F0"/>
            <w:vAlign w:val="center"/>
          </w:tcPr>
          <w:p>
            <w:pPr>
              <w:spacing w:after="0" w:line="36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(M+m)/2</w:t>
            </w:r>
          </w:p>
        </w:tc>
        <w:tc>
          <w:tcPr>
            <w:tcW w:w="69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23,07</w:t>
            </w:r>
          </w:p>
        </w:tc>
        <w:tc>
          <w:tcPr>
            <w:tcW w:w="66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19,61</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14,64</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12,26</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10,88</w:t>
            </w:r>
          </w:p>
        </w:tc>
        <w:tc>
          <w:tcPr>
            <w:tcW w:w="66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11,69</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13,47</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15,2</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18,51</w:t>
            </w:r>
          </w:p>
        </w:tc>
        <w:tc>
          <w:tcPr>
            <w:tcW w:w="66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22,41</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25,38</w:t>
            </w:r>
          </w:p>
        </w:tc>
        <w:tc>
          <w:tcPr>
            <w:tcW w:w="666"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26,22</w:t>
            </w:r>
          </w:p>
        </w:tc>
        <w:tc>
          <w:tcPr>
            <w:tcW w:w="795" w:type="dxa"/>
            <w:tcBorders>
              <w:top w:val="nil"/>
              <w:left w:val="nil"/>
              <w:bottom w:val="single" w:color="auto" w:sz="8" w:space="0"/>
              <w:right w:val="single" w:color="auto" w:sz="8" w:space="0"/>
            </w:tcBorders>
            <w:shd w:val="clear" w:color="auto" w:fill="auto"/>
            <w:vAlign w:val="center"/>
          </w:tcPr>
          <w:p>
            <w:pPr>
              <w:spacing w:after="0" w:line="360" w:lineRule="auto"/>
              <w:jc w:val="center"/>
              <w:rPr>
                <w:rFonts w:asciiTheme="majorBidi" w:hAnsiTheme="majorBidi" w:cstheme="majorBidi"/>
                <w:color w:val="000000"/>
                <w:sz w:val="24"/>
                <w:szCs w:val="24"/>
              </w:rPr>
            </w:pPr>
            <w:r>
              <w:rPr>
                <w:rFonts w:asciiTheme="majorBidi" w:hAnsiTheme="majorBidi" w:cstheme="majorBidi"/>
                <w:color w:val="000000"/>
                <w:sz w:val="24"/>
                <w:szCs w:val="24"/>
              </w:rPr>
              <w:t>17,77</w:t>
            </w:r>
          </w:p>
        </w:tc>
      </w:tr>
    </w:tbl>
    <w:p>
      <w:pPr>
        <w:spacing w:after="0" w:line="360" w:lineRule="auto"/>
        <w:jc w:val="center"/>
        <w:rPr>
          <w:rFonts w:asciiTheme="majorBidi" w:hAnsiTheme="majorBidi" w:cstheme="majorBidi"/>
          <w:sz w:val="24"/>
          <w:szCs w:val="24"/>
        </w:rPr>
      </w:pPr>
      <w:r>
        <w:rPr>
          <w:rFonts w:asciiTheme="majorBidi" w:hAnsiTheme="majorBidi" w:cstheme="majorBidi"/>
          <w:sz w:val="24"/>
          <w:szCs w:val="24"/>
        </w:rPr>
        <w:t>Tableau n°07 : Moyennes mensuelles des températures à la station de Mostaganem.</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 </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M</w:t>
      </w:r>
      <w:r>
        <w:rPr>
          <w:rFonts w:asciiTheme="majorBidi" w:hAnsiTheme="majorBidi" w:cstheme="majorBidi"/>
          <w:sz w:val="24"/>
          <w:szCs w:val="24"/>
        </w:rPr>
        <w:t xml:space="preserve"> : les moyennes des températures maximales (C°).</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m</w:t>
      </w:r>
      <w:r>
        <w:rPr>
          <w:rFonts w:asciiTheme="majorBidi" w:hAnsiTheme="majorBidi" w:cstheme="majorBidi"/>
          <w:sz w:val="24"/>
          <w:szCs w:val="24"/>
        </w:rPr>
        <w:t xml:space="preserve"> : les moyennes des températures minimales (C°)</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 xml:space="preserve"> (M+m)/2</w:t>
      </w:r>
      <w:r>
        <w:rPr>
          <w:rFonts w:asciiTheme="majorBidi" w:hAnsiTheme="majorBidi" w:cstheme="majorBidi"/>
          <w:sz w:val="24"/>
          <w:szCs w:val="24"/>
        </w:rPr>
        <w:t xml:space="preserve"> : Températures moyennes (C°).</w:t>
      </w:r>
    </w:p>
    <w:p>
      <w:pPr>
        <w:spacing w:line="360" w:lineRule="auto"/>
        <w:jc w:val="center"/>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5438775" cy="3009900"/>
            <wp:effectExtent l="12700" t="12700" r="22225" b="12700"/>
            <wp:docPr id="15"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pPr>
        <w:spacing w:line="360" w:lineRule="auto"/>
        <w:ind w:firstLine="708"/>
        <w:jc w:val="center"/>
        <w:rPr>
          <w:rFonts w:asciiTheme="majorBidi" w:hAnsiTheme="majorBidi" w:cstheme="majorBidi"/>
          <w:sz w:val="24"/>
          <w:szCs w:val="24"/>
        </w:rPr>
      </w:pPr>
      <w:r>
        <w:rPr>
          <w:rFonts w:asciiTheme="majorBidi" w:hAnsiTheme="majorBidi" w:cstheme="majorBidi"/>
          <w:sz w:val="24"/>
          <w:szCs w:val="24"/>
        </w:rPr>
        <w:t>Fig n°15 : Températures mensuelles (station de Mostaganem 1989-2008).</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D'une manière générale le minimum apparaît en Janvier 5.61C° alors que le maximum apparaît en Août 32.12C°.</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4. Le vent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C'est l'un des éléments les plus caractéristiques du climat, elle est mesurée dans les stations météorologiques à l’aide de l’anémomètre.</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Pour notre étude nous avons pris en considérations les vitesses enregistrées au niveau de la station de Mostaganem.</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D’après le tableau et l’histogramme, les valeurs de la vitesse du vent  varient entre 15,2m/s au mois de janvier et 26,6m/s pour le mois de Juin.</w:t>
      </w:r>
    </w:p>
    <w:p>
      <w:pPr>
        <w:spacing w:after="0" w:line="360" w:lineRule="auto"/>
        <w:ind w:firstLine="284"/>
        <w:jc w:val="both"/>
        <w:rPr>
          <w:rFonts w:asciiTheme="majorBidi" w:hAnsiTheme="majorBidi" w:cstheme="majorBidi"/>
          <w:sz w:val="24"/>
          <w:szCs w:val="24"/>
        </w:rPr>
      </w:pPr>
    </w:p>
    <w:tbl>
      <w:tblPr>
        <w:tblStyle w:val="11"/>
        <w:tblpPr w:leftFromText="141" w:rightFromText="141" w:vertAnchor="text" w:horzAnchor="page" w:tblpX="1622" w:tblpY="1198"/>
        <w:tblW w:w="93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738"/>
        <w:gridCol w:w="738"/>
        <w:gridCol w:w="614"/>
        <w:gridCol w:w="614"/>
        <w:gridCol w:w="613"/>
        <w:gridCol w:w="614"/>
        <w:gridCol w:w="738"/>
        <w:gridCol w:w="613"/>
        <w:gridCol w:w="614"/>
        <w:gridCol w:w="614"/>
        <w:gridCol w:w="738"/>
        <w:gridCol w:w="614"/>
        <w:gridCol w:w="7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738" w:type="dxa"/>
            <w:shd w:val="clear" w:color="auto" w:fill="00B0F0"/>
            <w:vAlign w:val="center"/>
          </w:tcPr>
          <w:p>
            <w:pPr>
              <w:spacing w:after="0" w:line="360" w:lineRule="auto"/>
              <w:ind w:left="142" w:right="2"/>
              <w:rPr>
                <w:rFonts w:asciiTheme="majorBidi" w:hAnsiTheme="majorBidi" w:cstheme="majorBidi"/>
                <w:b/>
                <w:bCs/>
                <w:sz w:val="20"/>
                <w:szCs w:val="20"/>
              </w:rPr>
            </w:pPr>
            <w:r>
              <w:rPr>
                <w:rFonts w:asciiTheme="majorBidi" w:hAnsiTheme="majorBidi" w:cstheme="majorBidi"/>
                <w:b/>
                <w:bCs/>
                <w:sz w:val="20"/>
                <w:szCs w:val="20"/>
              </w:rPr>
              <w:t>Mois</w:t>
            </w:r>
          </w:p>
        </w:tc>
        <w:tc>
          <w:tcPr>
            <w:tcW w:w="738"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Sept</w:t>
            </w:r>
          </w:p>
        </w:tc>
        <w:tc>
          <w:tcPr>
            <w:tcW w:w="738"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Oct</w:t>
            </w:r>
          </w:p>
        </w:tc>
        <w:tc>
          <w:tcPr>
            <w:tcW w:w="614"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Nov</w:t>
            </w:r>
          </w:p>
        </w:tc>
        <w:tc>
          <w:tcPr>
            <w:tcW w:w="614"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Déc</w:t>
            </w:r>
          </w:p>
        </w:tc>
        <w:tc>
          <w:tcPr>
            <w:tcW w:w="613"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Jan</w:t>
            </w:r>
          </w:p>
        </w:tc>
        <w:tc>
          <w:tcPr>
            <w:tcW w:w="614"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Fév</w:t>
            </w:r>
          </w:p>
        </w:tc>
        <w:tc>
          <w:tcPr>
            <w:tcW w:w="738"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Mars</w:t>
            </w:r>
          </w:p>
        </w:tc>
        <w:tc>
          <w:tcPr>
            <w:tcW w:w="613"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Avr</w:t>
            </w:r>
          </w:p>
        </w:tc>
        <w:tc>
          <w:tcPr>
            <w:tcW w:w="614"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Mai</w:t>
            </w:r>
          </w:p>
        </w:tc>
        <w:tc>
          <w:tcPr>
            <w:tcW w:w="614"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Juin</w:t>
            </w:r>
          </w:p>
        </w:tc>
        <w:tc>
          <w:tcPr>
            <w:tcW w:w="738"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Juil</w:t>
            </w:r>
          </w:p>
        </w:tc>
        <w:tc>
          <w:tcPr>
            <w:tcW w:w="614"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Aut</w:t>
            </w:r>
          </w:p>
        </w:tc>
        <w:tc>
          <w:tcPr>
            <w:tcW w:w="738"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Moy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trPr>
        <w:tc>
          <w:tcPr>
            <w:tcW w:w="738"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shd w:val="clear" w:color="auto" w:fill="00B0F0"/>
              </w:rPr>
              <w:t>V (m/s</w:t>
            </w:r>
            <w:r>
              <w:rPr>
                <w:rFonts w:asciiTheme="majorBidi" w:hAnsiTheme="majorBidi" w:cstheme="majorBidi"/>
                <w:sz w:val="20"/>
                <w:szCs w:val="20"/>
              </w:rPr>
              <w:t>)</w:t>
            </w:r>
          </w:p>
        </w:tc>
        <w:tc>
          <w:tcPr>
            <w:tcW w:w="738"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21,4</w:t>
            </w:r>
          </w:p>
        </w:tc>
        <w:tc>
          <w:tcPr>
            <w:tcW w:w="738"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21,4</w:t>
            </w:r>
          </w:p>
        </w:tc>
        <w:tc>
          <w:tcPr>
            <w:tcW w:w="614"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20,7</w:t>
            </w:r>
          </w:p>
        </w:tc>
        <w:tc>
          <w:tcPr>
            <w:tcW w:w="614"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21,7</w:t>
            </w:r>
          </w:p>
        </w:tc>
        <w:tc>
          <w:tcPr>
            <w:tcW w:w="613"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15,8</w:t>
            </w:r>
          </w:p>
        </w:tc>
        <w:tc>
          <w:tcPr>
            <w:tcW w:w="614"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18,7</w:t>
            </w:r>
          </w:p>
        </w:tc>
        <w:tc>
          <w:tcPr>
            <w:tcW w:w="738"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19,6</w:t>
            </w:r>
          </w:p>
        </w:tc>
        <w:tc>
          <w:tcPr>
            <w:tcW w:w="613"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23,5</w:t>
            </w:r>
          </w:p>
        </w:tc>
        <w:tc>
          <w:tcPr>
            <w:tcW w:w="614"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26,1</w:t>
            </w:r>
          </w:p>
        </w:tc>
        <w:tc>
          <w:tcPr>
            <w:tcW w:w="614"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26,6</w:t>
            </w:r>
          </w:p>
        </w:tc>
        <w:tc>
          <w:tcPr>
            <w:tcW w:w="738"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18,2</w:t>
            </w:r>
          </w:p>
        </w:tc>
        <w:tc>
          <w:tcPr>
            <w:tcW w:w="614"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20,3</w:t>
            </w:r>
          </w:p>
        </w:tc>
        <w:tc>
          <w:tcPr>
            <w:tcW w:w="738" w:type="dxa"/>
            <w:shd w:val="clear" w:color="auto" w:fill="auto"/>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21,16</w:t>
            </w:r>
          </w:p>
        </w:tc>
      </w:tr>
    </w:tbl>
    <w:p>
      <w:pPr>
        <w:spacing w:after="0" w:line="360" w:lineRule="auto"/>
        <w:ind w:firstLine="567"/>
        <w:jc w:val="center"/>
        <w:rPr>
          <w:rFonts w:asciiTheme="majorBidi" w:hAnsiTheme="majorBidi" w:cstheme="majorBidi"/>
          <w:sz w:val="24"/>
          <w:szCs w:val="24"/>
        </w:rPr>
      </w:pPr>
      <w:r>
        <w:rPr>
          <w:rFonts w:asciiTheme="majorBidi" w:hAnsiTheme="majorBidi" w:cstheme="majorBidi"/>
          <w:sz w:val="24"/>
          <w:szCs w:val="24"/>
        </w:rPr>
        <w:t>Tableau n°08: Moyennes mensuelles des vitesses du vent (m/s) Mostaganem Période (1989 - 2008)</w:t>
      </w:r>
    </w:p>
    <w:p>
      <w:pPr>
        <w:tabs>
          <w:tab w:val="left" w:pos="975"/>
        </w:tabs>
        <w:spacing w:line="360" w:lineRule="auto"/>
        <w:jc w:val="both"/>
        <w:rPr>
          <w:rFonts w:asciiTheme="majorBidi" w:hAnsiTheme="majorBidi" w:cstheme="majorBidi"/>
          <w:sz w:val="24"/>
          <w:szCs w:val="24"/>
        </w:rPr>
      </w:pPr>
    </w:p>
    <w:p>
      <w:pPr>
        <w:tabs>
          <w:tab w:val="left" w:pos="975"/>
        </w:tabs>
        <w:spacing w:line="360" w:lineRule="auto"/>
        <w:jc w:val="center"/>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5476875" cy="3067050"/>
            <wp:effectExtent l="12700" t="12700" r="22225" b="19050"/>
            <wp:docPr id="19"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pPr>
        <w:tabs>
          <w:tab w:val="left" w:pos="1155"/>
        </w:tabs>
        <w:spacing w:line="360" w:lineRule="auto"/>
        <w:jc w:val="center"/>
        <w:rPr>
          <w:rFonts w:asciiTheme="majorBidi" w:hAnsiTheme="majorBidi" w:cstheme="majorBidi"/>
          <w:sz w:val="24"/>
          <w:szCs w:val="24"/>
        </w:rPr>
      </w:pPr>
      <w:r>
        <w:rPr>
          <w:rFonts w:asciiTheme="majorBidi" w:hAnsiTheme="majorBidi" w:cstheme="majorBidi"/>
          <w:sz w:val="24"/>
          <w:szCs w:val="24"/>
        </w:rPr>
        <w:t>Fig n°16 : variation des vitesses maximales de vent (station de Mostaganem 1989-2008).</w:t>
      </w:r>
    </w:p>
    <w:p>
      <w:pPr>
        <w:tabs>
          <w:tab w:val="left" w:pos="1155"/>
        </w:tabs>
        <w:spacing w:line="360" w:lineRule="auto"/>
        <w:jc w:val="both"/>
        <w:rPr>
          <w:rFonts w:asciiTheme="majorBidi" w:hAnsiTheme="majorBidi" w:cstheme="majorBidi"/>
          <w:b/>
          <w:bCs/>
          <w:sz w:val="24"/>
          <w:szCs w:val="24"/>
        </w:rPr>
      </w:pPr>
      <w:r>
        <w:rPr>
          <w:rFonts w:asciiTheme="majorBidi" w:hAnsiTheme="majorBidi" w:cstheme="majorBidi"/>
          <w:b/>
          <w:bCs/>
          <w:sz w:val="24"/>
          <w:szCs w:val="24"/>
        </w:rPr>
        <w:t>5. L’humidité :</w:t>
      </w:r>
    </w:p>
    <w:p>
      <w:pPr>
        <w:tabs>
          <w:tab w:val="left" w:pos="1155"/>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L'humidité relative correspond au rapport exprimé en pourcentage de la tension de la vapeur réelle observée à la tension maximum correspondante à la même température.</w:t>
      </w:r>
    </w:p>
    <w:p>
      <w:pPr>
        <w:tabs>
          <w:tab w:val="left" w:pos="1155"/>
        </w:tabs>
        <w:spacing w:after="0" w:line="360" w:lineRule="auto"/>
        <w:jc w:val="both"/>
        <w:rPr>
          <w:rFonts w:asciiTheme="majorBidi" w:hAnsiTheme="majorBidi" w:cstheme="majorBidi"/>
          <w:sz w:val="24"/>
          <w:szCs w:val="24"/>
        </w:rPr>
      </w:pPr>
      <w:r>
        <w:rPr>
          <w:rFonts w:asciiTheme="majorBidi" w:hAnsiTheme="majorBidi" w:cstheme="majorBidi"/>
          <w:sz w:val="24"/>
          <w:szCs w:val="24"/>
        </w:rPr>
        <w:t>Elle est donnée par la relation suivante :</w:t>
      </w:r>
    </w:p>
    <w:p>
      <w:pPr>
        <w:tabs>
          <w:tab w:val="left" w:pos="1155"/>
        </w:tabs>
        <w:spacing w:after="0" w:line="360" w:lineRule="auto"/>
        <w:jc w:val="both"/>
        <w:rPr>
          <w:rFonts w:asciiTheme="majorBidi" w:hAnsiTheme="majorBidi" w:cstheme="majorBidi"/>
          <w:sz w:val="24"/>
          <w:szCs w:val="24"/>
        </w:rPr>
      </w:pPr>
      <w:r>
        <w:rPr>
          <w:rFonts w:asciiTheme="majorBidi" w:hAnsiTheme="majorBidi" w:cstheme="majorBidi"/>
          <w:b/>
          <w:bCs/>
          <w:sz w:val="24"/>
          <w:szCs w:val="24"/>
        </w:rPr>
        <w:t>HR</w:t>
      </w:r>
      <w:r>
        <w:rPr>
          <w:rFonts w:asciiTheme="majorBidi" w:hAnsiTheme="majorBidi" w:cstheme="majorBidi"/>
          <w:sz w:val="24"/>
          <w:szCs w:val="24"/>
        </w:rPr>
        <w:t xml:space="preserve"> = 100 e /es.</w:t>
      </w:r>
    </w:p>
    <w:p>
      <w:pPr>
        <w:tabs>
          <w:tab w:val="left" w:pos="1155"/>
        </w:tabs>
        <w:spacing w:after="0" w:line="360" w:lineRule="auto"/>
        <w:jc w:val="both"/>
        <w:rPr>
          <w:rFonts w:asciiTheme="majorBidi" w:hAnsiTheme="majorBidi" w:cstheme="majorBidi"/>
          <w:sz w:val="24"/>
          <w:szCs w:val="24"/>
        </w:rPr>
      </w:pPr>
      <w:r>
        <w:rPr>
          <w:rFonts w:asciiTheme="majorBidi" w:hAnsiTheme="majorBidi" w:cstheme="majorBidi"/>
          <w:b/>
          <w:bCs/>
          <w:sz w:val="24"/>
          <w:szCs w:val="24"/>
        </w:rPr>
        <w:t>e</w:t>
      </w:r>
      <w:r>
        <w:rPr>
          <w:rFonts w:asciiTheme="majorBidi" w:hAnsiTheme="majorBidi" w:cstheme="majorBidi"/>
          <w:sz w:val="24"/>
          <w:szCs w:val="24"/>
        </w:rPr>
        <w:t xml:space="preserve"> : tension de la vapeur réelle.</w:t>
      </w:r>
    </w:p>
    <w:p>
      <w:pPr>
        <w:tabs>
          <w:tab w:val="left" w:pos="1155"/>
        </w:tabs>
        <w:spacing w:after="0" w:line="360" w:lineRule="auto"/>
        <w:jc w:val="both"/>
        <w:rPr>
          <w:rFonts w:asciiTheme="majorBidi" w:hAnsiTheme="majorBidi" w:cstheme="majorBidi"/>
          <w:sz w:val="24"/>
          <w:szCs w:val="24"/>
        </w:rPr>
      </w:pPr>
      <w:r>
        <w:rPr>
          <w:rFonts w:asciiTheme="majorBidi" w:hAnsiTheme="majorBidi" w:cstheme="majorBidi"/>
          <w:b/>
          <w:bCs/>
          <w:sz w:val="24"/>
          <w:szCs w:val="24"/>
        </w:rPr>
        <w:t>es</w:t>
      </w:r>
      <w:r>
        <w:rPr>
          <w:rFonts w:asciiTheme="majorBidi" w:hAnsiTheme="majorBidi" w:cstheme="majorBidi"/>
          <w:sz w:val="24"/>
          <w:szCs w:val="24"/>
        </w:rPr>
        <w:t xml:space="preserve"> : tension de la vapeur saturante.</w:t>
      </w:r>
    </w:p>
    <w:p>
      <w:pPr>
        <w:tabs>
          <w:tab w:val="left" w:pos="1155"/>
        </w:tabs>
        <w:spacing w:after="0" w:line="360" w:lineRule="auto"/>
        <w:jc w:val="both"/>
        <w:rPr>
          <w:rFonts w:asciiTheme="majorBidi" w:hAnsiTheme="majorBidi" w:cstheme="majorBidi"/>
          <w:sz w:val="24"/>
          <w:szCs w:val="24"/>
        </w:rPr>
      </w:pPr>
      <w:r>
        <w:rPr>
          <w:rFonts w:asciiTheme="majorBidi" w:hAnsiTheme="majorBidi" w:cstheme="majorBidi"/>
          <w:sz w:val="24"/>
          <w:szCs w:val="24"/>
        </w:rPr>
        <w:t>Nous avons utilisé les mesures recueillies à la station de Mostaganem sur une période allant de 1989-2008, (20 ans).</w:t>
      </w:r>
    </w:p>
    <w:p>
      <w:pPr>
        <w:tabs>
          <w:tab w:val="left" w:pos="1155"/>
        </w:tabs>
        <w:spacing w:line="360" w:lineRule="auto"/>
        <w:jc w:val="center"/>
        <w:rPr>
          <w:rFonts w:asciiTheme="majorBidi" w:hAnsiTheme="majorBidi" w:cstheme="majorBidi"/>
          <w:sz w:val="24"/>
          <w:szCs w:val="24"/>
        </w:rPr>
      </w:pPr>
      <w:r>
        <w:rPr>
          <w:rFonts w:asciiTheme="majorBidi" w:hAnsiTheme="majorBidi" w:cstheme="majorBidi"/>
          <w:sz w:val="24"/>
          <w:szCs w:val="24"/>
        </w:rPr>
        <w:t>Tableau n° 09: Moyenne mensuelle d'humidité relative.</w:t>
      </w:r>
    </w:p>
    <w:tbl>
      <w:tblPr>
        <w:tblStyle w:val="11"/>
        <w:tblW w:w="9923" w:type="dxa"/>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708"/>
        <w:gridCol w:w="567"/>
        <w:gridCol w:w="567"/>
        <w:gridCol w:w="709"/>
        <w:gridCol w:w="709"/>
        <w:gridCol w:w="633"/>
        <w:gridCol w:w="678"/>
        <w:gridCol w:w="570"/>
        <w:gridCol w:w="678"/>
        <w:gridCol w:w="701"/>
        <w:gridCol w:w="567"/>
        <w:gridCol w:w="693"/>
        <w:gridCol w:w="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1277" w:type="dxa"/>
            <w:shd w:val="clear" w:color="auto" w:fill="00B0F0"/>
            <w:vAlign w:val="center"/>
          </w:tcPr>
          <w:p>
            <w:pPr>
              <w:spacing w:after="0" w:line="360" w:lineRule="auto"/>
              <w:ind w:left="142" w:right="2"/>
              <w:rPr>
                <w:rFonts w:asciiTheme="majorBidi" w:hAnsiTheme="majorBidi" w:cstheme="majorBidi"/>
                <w:b/>
                <w:bCs/>
                <w:sz w:val="20"/>
                <w:szCs w:val="20"/>
              </w:rPr>
            </w:pPr>
            <w:r>
              <w:rPr>
                <w:rFonts w:asciiTheme="majorBidi" w:hAnsiTheme="majorBidi" w:cstheme="majorBidi"/>
                <w:b/>
                <w:bCs/>
                <w:sz w:val="20"/>
                <w:szCs w:val="20"/>
              </w:rPr>
              <w:t>Mois</w:t>
            </w:r>
          </w:p>
        </w:tc>
        <w:tc>
          <w:tcPr>
            <w:tcW w:w="708"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Sept</w:t>
            </w:r>
          </w:p>
        </w:tc>
        <w:tc>
          <w:tcPr>
            <w:tcW w:w="567"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Oct</w:t>
            </w:r>
          </w:p>
        </w:tc>
        <w:tc>
          <w:tcPr>
            <w:tcW w:w="567"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Nov</w:t>
            </w:r>
          </w:p>
        </w:tc>
        <w:tc>
          <w:tcPr>
            <w:tcW w:w="709"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Déc</w:t>
            </w:r>
          </w:p>
        </w:tc>
        <w:tc>
          <w:tcPr>
            <w:tcW w:w="709"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Jan</w:t>
            </w:r>
          </w:p>
        </w:tc>
        <w:tc>
          <w:tcPr>
            <w:tcW w:w="633"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Fév</w:t>
            </w:r>
          </w:p>
        </w:tc>
        <w:tc>
          <w:tcPr>
            <w:tcW w:w="678"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Mars</w:t>
            </w:r>
          </w:p>
        </w:tc>
        <w:tc>
          <w:tcPr>
            <w:tcW w:w="570"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Avr</w:t>
            </w:r>
          </w:p>
        </w:tc>
        <w:tc>
          <w:tcPr>
            <w:tcW w:w="678"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Mai</w:t>
            </w:r>
          </w:p>
        </w:tc>
        <w:tc>
          <w:tcPr>
            <w:tcW w:w="701"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Juin</w:t>
            </w:r>
          </w:p>
        </w:tc>
        <w:tc>
          <w:tcPr>
            <w:tcW w:w="567"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Juil</w:t>
            </w:r>
          </w:p>
        </w:tc>
        <w:tc>
          <w:tcPr>
            <w:tcW w:w="693"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Aut</w:t>
            </w:r>
          </w:p>
        </w:tc>
        <w:tc>
          <w:tcPr>
            <w:tcW w:w="866"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Moy annuel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1277" w:type="dxa"/>
            <w:shd w:val="clear" w:color="auto" w:fill="00B0F0"/>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Humidité</w:t>
            </w:r>
          </w:p>
          <w:p>
            <w:pPr>
              <w:spacing w:after="0" w:line="360" w:lineRule="auto"/>
              <w:rPr>
                <w:rFonts w:asciiTheme="majorBidi" w:hAnsiTheme="majorBidi" w:cstheme="majorBidi"/>
                <w:b/>
                <w:bCs/>
                <w:sz w:val="20"/>
                <w:szCs w:val="20"/>
              </w:rPr>
            </w:pPr>
            <w:r>
              <w:rPr>
                <w:rFonts w:asciiTheme="majorBidi" w:hAnsiTheme="majorBidi" w:cstheme="majorBidi"/>
                <w:b/>
                <w:bCs/>
                <w:sz w:val="20"/>
                <w:szCs w:val="20"/>
              </w:rPr>
              <w:t>Relative(%)</w:t>
            </w:r>
          </w:p>
        </w:tc>
        <w:tc>
          <w:tcPr>
            <w:tcW w:w="708"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72.4</w:t>
            </w:r>
          </w:p>
        </w:tc>
        <w:tc>
          <w:tcPr>
            <w:tcW w:w="567"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75.5</w:t>
            </w:r>
          </w:p>
        </w:tc>
        <w:tc>
          <w:tcPr>
            <w:tcW w:w="567"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77.6</w:t>
            </w:r>
          </w:p>
        </w:tc>
        <w:tc>
          <w:tcPr>
            <w:tcW w:w="709"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78.05</w:t>
            </w:r>
          </w:p>
        </w:tc>
        <w:tc>
          <w:tcPr>
            <w:tcW w:w="709"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77.75</w:t>
            </w:r>
          </w:p>
        </w:tc>
        <w:tc>
          <w:tcPr>
            <w:tcW w:w="633"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76.8</w:t>
            </w:r>
          </w:p>
        </w:tc>
        <w:tc>
          <w:tcPr>
            <w:tcW w:w="678"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75.45</w:t>
            </w:r>
          </w:p>
        </w:tc>
        <w:tc>
          <w:tcPr>
            <w:tcW w:w="570"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71.9</w:t>
            </w:r>
          </w:p>
        </w:tc>
        <w:tc>
          <w:tcPr>
            <w:tcW w:w="678"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71.55</w:t>
            </w:r>
          </w:p>
        </w:tc>
        <w:tc>
          <w:tcPr>
            <w:tcW w:w="701"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69.4</w:t>
            </w:r>
          </w:p>
        </w:tc>
        <w:tc>
          <w:tcPr>
            <w:tcW w:w="567"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68.5</w:t>
            </w:r>
          </w:p>
        </w:tc>
        <w:tc>
          <w:tcPr>
            <w:tcW w:w="693"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68.35</w:t>
            </w:r>
          </w:p>
        </w:tc>
        <w:tc>
          <w:tcPr>
            <w:tcW w:w="866" w:type="dxa"/>
            <w:shd w:val="clear" w:color="auto" w:fill="auto"/>
            <w:vAlign w:val="center"/>
          </w:tcPr>
          <w:p>
            <w:pPr>
              <w:spacing w:after="0" w:line="360" w:lineRule="auto"/>
              <w:rPr>
                <w:rFonts w:asciiTheme="majorBidi" w:hAnsiTheme="majorBidi" w:cstheme="majorBidi"/>
                <w:b/>
                <w:bCs/>
                <w:sz w:val="20"/>
                <w:szCs w:val="20"/>
              </w:rPr>
            </w:pPr>
            <w:r>
              <w:rPr>
                <w:rFonts w:asciiTheme="majorBidi" w:hAnsiTheme="majorBidi" w:cstheme="majorBidi"/>
                <w:b/>
                <w:bCs/>
                <w:sz w:val="20"/>
                <w:szCs w:val="20"/>
              </w:rPr>
              <w:t>67.61</w:t>
            </w:r>
          </w:p>
        </w:tc>
      </w:tr>
    </w:tbl>
    <w:p>
      <w:pPr>
        <w:spacing w:line="360" w:lineRule="auto"/>
        <w:jc w:val="both"/>
        <w:rPr>
          <w:rFonts w:asciiTheme="majorBidi" w:hAnsiTheme="majorBidi" w:cstheme="majorBidi"/>
          <w:sz w:val="24"/>
          <w:szCs w:val="24"/>
          <w:lang w:eastAsia="fr-FR"/>
        </w:rPr>
      </w:pPr>
    </w:p>
    <w:p>
      <w:pPr>
        <w:spacing w:line="360" w:lineRule="auto"/>
        <w:jc w:val="both"/>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6038850" cy="3095625"/>
            <wp:effectExtent l="53975" t="53975" r="117475" b="11430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6045815" cy="3099196"/>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after="0" w:line="360" w:lineRule="auto"/>
        <w:ind w:firstLine="708"/>
        <w:jc w:val="center"/>
        <w:rPr>
          <w:rFonts w:asciiTheme="majorBidi" w:hAnsiTheme="majorBidi" w:cstheme="majorBidi"/>
          <w:b/>
          <w:bCs/>
          <w:sz w:val="24"/>
          <w:szCs w:val="24"/>
        </w:rPr>
      </w:pPr>
      <w:r>
        <w:rPr>
          <w:rFonts w:asciiTheme="majorBidi" w:hAnsiTheme="majorBidi" w:cstheme="majorBidi"/>
          <w:sz w:val="24"/>
          <w:szCs w:val="24"/>
        </w:rPr>
        <w:t>Fig n°17: Variation de l’humidité mensuelle-station (Mostaganem 1989-2008)</w:t>
      </w:r>
      <w:r>
        <w:rPr>
          <w:rFonts w:asciiTheme="majorBidi" w:hAnsiTheme="majorBidi" w:cstheme="majorBidi"/>
          <w:b/>
          <w:bCs/>
          <w:sz w:val="24"/>
          <w:szCs w:val="24"/>
        </w:rPr>
        <w:t>.</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Nous remarquons que l'humidité relative en Hiver est nettement élevée avec un maximum (HR = 78.05%), correspondant aux mois les plus humides Janvier et Décembre tandis que la moyenne annuelle est de 67.61%, Cela est dû à la proximité de la région avec la mer, ce qui modère un peu le climat de région.</w:t>
      </w:r>
      <w:r>
        <w:rPr>
          <w:rFonts w:asciiTheme="majorBidi" w:hAnsiTheme="majorBidi" w:cstheme="majorBidi"/>
          <w:sz w:val="24"/>
          <w:szCs w:val="24"/>
        </w:rPr>
        <w:tab/>
      </w:r>
    </w:p>
    <w:p>
      <w:pPr>
        <w:spacing w:after="0" w:line="360" w:lineRule="auto"/>
        <w:jc w:val="both"/>
        <w:rPr>
          <w:rFonts w:asciiTheme="majorBidi" w:hAnsiTheme="majorBidi" w:cstheme="majorBidi"/>
          <w:b/>
          <w:bCs/>
          <w:i/>
          <w:iCs/>
          <w:sz w:val="24"/>
          <w:szCs w:val="24"/>
        </w:rPr>
      </w:pPr>
      <w:r>
        <w:rPr>
          <w:rFonts w:asciiTheme="majorBidi" w:hAnsiTheme="majorBidi" w:cstheme="majorBidi"/>
          <w:b/>
          <w:bCs/>
          <w:sz w:val="24"/>
          <w:szCs w:val="24"/>
        </w:rPr>
        <w:t>6. Étude de la relation température, précipitation</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Un certain nombre de méthodes soit graphiques soit par calculs permet de déterminer le climat d’une région et ses différents régimes.</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6.1. Représentations graphiques :</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6.1.1 Diagramme pluviothermique :</w:t>
      </w:r>
    </w:p>
    <w:p>
      <w:pPr>
        <w:tabs>
          <w:tab w:val="left" w:pos="1260"/>
        </w:tabs>
        <w:spacing w:after="0" w:line="360" w:lineRule="auto"/>
        <w:jc w:val="center"/>
        <w:rPr>
          <w:rFonts w:asciiTheme="majorBidi" w:hAnsiTheme="majorBidi" w:cstheme="majorBidi"/>
          <w:b/>
          <w:bCs/>
          <w:color w:val="FF0000"/>
          <w:sz w:val="24"/>
          <w:szCs w:val="24"/>
        </w:rPr>
      </w:pPr>
      <w:r>
        <w:rPr>
          <w:rFonts w:asciiTheme="majorBidi" w:hAnsiTheme="majorBidi" w:cstheme="majorBidi"/>
          <w:sz w:val="24"/>
          <w:szCs w:val="24"/>
        </w:rPr>
        <w:t>Tableau n°10 : les valeurs des précipitations et les températures de station de Mostaganem</w:t>
      </w:r>
      <w:r>
        <w:rPr>
          <w:rFonts w:asciiTheme="majorBidi" w:hAnsiTheme="majorBidi" w:cstheme="majorBidi"/>
          <w:b/>
          <w:bCs/>
          <w:sz w:val="24"/>
          <w:szCs w:val="24"/>
        </w:rPr>
        <w:t xml:space="preserve">. </w:t>
      </w:r>
    </w:p>
    <w:tbl>
      <w:tblPr>
        <w:tblStyle w:val="11"/>
        <w:tblW w:w="94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6"/>
        <w:gridCol w:w="711"/>
        <w:gridCol w:w="711"/>
        <w:gridCol w:w="711"/>
        <w:gridCol w:w="711"/>
        <w:gridCol w:w="711"/>
        <w:gridCol w:w="711"/>
        <w:gridCol w:w="711"/>
        <w:gridCol w:w="711"/>
        <w:gridCol w:w="711"/>
        <w:gridCol w:w="711"/>
        <w:gridCol w:w="711"/>
        <w:gridCol w:w="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966" w:type="dxa"/>
            <w:shd w:val="clear" w:color="auto" w:fill="00B0F0"/>
            <w:vAlign w:val="center"/>
          </w:tcPr>
          <w:p>
            <w:pPr>
              <w:spacing w:after="0" w:line="360" w:lineRule="auto"/>
              <w:ind w:left="142" w:right="2"/>
              <w:rPr>
                <w:rFonts w:asciiTheme="majorBidi" w:hAnsiTheme="majorBidi" w:cstheme="majorBidi"/>
                <w:sz w:val="20"/>
                <w:szCs w:val="20"/>
              </w:rPr>
            </w:pPr>
            <w:r>
              <w:rPr>
                <w:rFonts w:asciiTheme="majorBidi" w:hAnsiTheme="majorBidi" w:cstheme="majorBidi"/>
                <w:sz w:val="20"/>
                <w:szCs w:val="20"/>
              </w:rPr>
              <w:t>Mois</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Sept</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Oct</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Nov</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Déc</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Jan</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Fév</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Mars</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Avr</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Mai</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Juin</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Juil</w:t>
            </w:r>
          </w:p>
        </w:tc>
        <w:tc>
          <w:tcPr>
            <w:tcW w:w="711" w:type="dxa"/>
            <w:shd w:val="clear" w:color="auto" w:fill="00B0F0"/>
            <w:vAlign w:val="center"/>
          </w:tcPr>
          <w:p>
            <w:pPr>
              <w:spacing w:after="0" w:line="360" w:lineRule="auto"/>
              <w:rPr>
                <w:rFonts w:asciiTheme="majorBidi" w:hAnsiTheme="majorBidi" w:cstheme="majorBidi"/>
                <w:sz w:val="20"/>
                <w:szCs w:val="20"/>
              </w:rPr>
            </w:pPr>
            <w:r>
              <w:rPr>
                <w:rFonts w:asciiTheme="majorBidi" w:hAnsiTheme="majorBidi" w:cstheme="majorBidi"/>
                <w:sz w:val="20"/>
                <w:szCs w:val="20"/>
              </w:rPr>
              <w:t>Aut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966" w:type="dxa"/>
            <w:shd w:val="clear" w:color="auto" w:fill="00B0F0"/>
            <w:vAlign w:val="center"/>
          </w:tcPr>
          <w:p>
            <w:pPr>
              <w:spacing w:after="0" w:line="360" w:lineRule="auto"/>
              <w:jc w:val="center"/>
              <w:rPr>
                <w:rFonts w:asciiTheme="majorBidi" w:hAnsiTheme="majorBidi" w:cstheme="majorBidi"/>
              </w:rPr>
            </w:pPr>
            <w:r>
              <w:rPr>
                <w:rFonts w:asciiTheme="majorBidi" w:hAnsiTheme="majorBidi" w:cstheme="majorBidi"/>
              </w:rPr>
              <w:t>P (mm)</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25.57</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32.72</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71.43</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56.73</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46.65</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48.91</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39.09</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37.18</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25.56</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4.76</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1.94</w:t>
            </w:r>
          </w:p>
        </w:tc>
        <w:tc>
          <w:tcPr>
            <w:tcW w:w="711" w:type="dxa"/>
            <w:shd w:val="clear" w:color="auto" w:fill="auto"/>
            <w:vAlign w:val="center"/>
          </w:tcPr>
          <w:p>
            <w:pPr>
              <w:spacing w:after="0" w:line="360" w:lineRule="auto"/>
              <w:jc w:val="center"/>
              <w:rPr>
                <w:rFonts w:asciiTheme="majorBidi" w:hAnsiTheme="majorBidi" w:cstheme="majorBidi"/>
              </w:rPr>
            </w:pPr>
            <w:r>
              <w:rPr>
                <w:rFonts w:asciiTheme="majorBidi" w:hAnsiTheme="majorBidi" w:cstheme="majorBidi"/>
              </w:rP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966" w:type="dxa"/>
            <w:shd w:val="clear" w:color="auto" w:fill="00B0F0"/>
            <w:vAlign w:val="center"/>
          </w:tcPr>
          <w:p>
            <w:pPr>
              <w:spacing w:after="0" w:line="360" w:lineRule="auto"/>
              <w:jc w:val="center"/>
              <w:rPr>
                <w:rFonts w:asciiTheme="majorBidi" w:hAnsiTheme="majorBidi" w:cstheme="majorBidi"/>
                <w:color w:val="000000"/>
              </w:rPr>
            </w:pPr>
            <w:r>
              <w:rPr>
                <w:rFonts w:asciiTheme="majorBidi" w:hAnsiTheme="majorBidi" w:cstheme="majorBidi"/>
              </w:rPr>
              <w:t>T (C °)</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23,07</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19,61</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14,64</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12,26</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10,88</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11,69</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13,47</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15,2</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18,51</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22,41</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25,38</w:t>
            </w:r>
          </w:p>
        </w:tc>
        <w:tc>
          <w:tcPr>
            <w:tcW w:w="711" w:type="dxa"/>
            <w:shd w:val="clear" w:color="auto" w:fill="auto"/>
            <w:vAlign w:val="center"/>
          </w:tcPr>
          <w:p>
            <w:pPr>
              <w:spacing w:after="0" w:line="360" w:lineRule="auto"/>
              <w:jc w:val="center"/>
              <w:rPr>
                <w:rFonts w:asciiTheme="majorBidi" w:hAnsiTheme="majorBidi" w:cstheme="majorBidi"/>
                <w:color w:val="000000"/>
              </w:rPr>
            </w:pPr>
            <w:r>
              <w:rPr>
                <w:rFonts w:asciiTheme="majorBidi" w:hAnsiTheme="majorBidi" w:cstheme="majorBidi"/>
                <w:color w:val="000000"/>
              </w:rPr>
              <w:t>26,22</w:t>
            </w:r>
          </w:p>
        </w:tc>
      </w:tr>
    </w:tbl>
    <w:p>
      <w:pPr>
        <w:tabs>
          <w:tab w:val="left" w:pos="1260"/>
        </w:tabs>
        <w:spacing w:line="360" w:lineRule="auto"/>
        <w:jc w:val="both"/>
        <w:rPr>
          <w:rFonts w:asciiTheme="majorBidi" w:hAnsiTheme="majorBidi" w:cstheme="majorBidi"/>
          <w:sz w:val="24"/>
          <w:szCs w:val="24"/>
        </w:rPr>
      </w:pPr>
    </w:p>
    <w:p>
      <w:pPr>
        <w:tabs>
          <w:tab w:val="left" w:pos="1260"/>
        </w:tabs>
        <w:spacing w:line="360" w:lineRule="auto"/>
        <w:jc w:val="center"/>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4867275" cy="2486025"/>
            <wp:effectExtent l="53975" t="53975" r="107950" b="11430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a:picLocks noChangeAspect="1" noChangeArrowheads="1"/>
                    </pic:cNvPicPr>
                  </pic:nvPicPr>
                  <pic:blipFill>
                    <a:blip r:embed="rId25">
                      <a:extLst>
                        <a:ext uri="{28A0092B-C50C-407E-A947-70E740481C1C}">
                          <a14:useLocalDpi xmlns:a14="http://schemas.microsoft.com/office/drawing/2010/main" val="0"/>
                        </a:ext>
                      </a:extLst>
                    </a:blip>
                    <a:srcRect l="13880" t="11316" r="9197" b="30789"/>
                    <a:stretch>
                      <a:fillRect/>
                    </a:stretch>
                  </pic:blipFill>
                  <pic:spPr>
                    <a:xfrm>
                      <a:off x="0" y="0"/>
                      <a:ext cx="4867275" cy="248602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tabs>
          <w:tab w:val="left" w:pos="1260"/>
        </w:tabs>
        <w:spacing w:line="360" w:lineRule="auto"/>
        <w:jc w:val="center"/>
        <w:rPr>
          <w:rFonts w:asciiTheme="majorBidi" w:hAnsiTheme="majorBidi" w:cstheme="majorBidi"/>
          <w:sz w:val="24"/>
          <w:szCs w:val="24"/>
        </w:rPr>
      </w:pPr>
      <w:r>
        <w:rPr>
          <w:rFonts w:asciiTheme="majorBidi" w:hAnsiTheme="majorBidi" w:cstheme="majorBidi"/>
          <w:sz w:val="24"/>
          <w:szCs w:val="24"/>
        </w:rPr>
        <w:t>Fig n°18: Courbe pluviothermique de la station de Mostaganem (1989-2008)</w:t>
      </w:r>
    </w:p>
    <w:p>
      <w:pPr>
        <w:tabs>
          <w:tab w:val="left" w:pos="1260"/>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Cette courbe est dressée en portant sur l’abscisse les mois de l’année et sur les ordonnées les pluies et les températures avec une échelle différente : P =2T.</w:t>
      </w:r>
    </w:p>
    <w:p>
      <w:pPr>
        <w:tabs>
          <w:tab w:val="left" w:pos="1260"/>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Si la courbe des précipitations passe au-dessus de celle des températures pendant les mois humides qui s’étendent de Novembre jusqu’à Mai la période est excédentaire.</w:t>
      </w:r>
    </w:p>
    <w:p>
      <w:pPr>
        <w:tabs>
          <w:tab w:val="left" w:pos="1260"/>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Si La courbe des précipitations passe au-dessous de celle des températures pendant les mois secs de Mai jusqu’à Octobre, la période est déficitaire.</w:t>
      </w:r>
    </w:p>
    <w:p>
      <w:pPr>
        <w:tabs>
          <w:tab w:val="left" w:pos="1260"/>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Pour notre cas et d’après la figure n°18 nous constatons bien la présence de ces deux périodes sèches et humides et suivant les mois cités.    </w:t>
      </w:r>
    </w:p>
    <w:p>
      <w:pPr>
        <w:tabs>
          <w:tab w:val="left" w:pos="126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7. Les indices climatiques :</w:t>
      </w:r>
    </w:p>
    <w:p>
      <w:pPr>
        <w:tabs>
          <w:tab w:val="left" w:pos="1260"/>
        </w:tabs>
        <w:spacing w:after="0" w:line="360" w:lineRule="auto"/>
        <w:ind w:firstLine="284"/>
        <w:jc w:val="both"/>
        <w:rPr>
          <w:rFonts w:asciiTheme="majorBidi" w:hAnsiTheme="majorBidi" w:cstheme="majorBidi"/>
          <w:b/>
          <w:bCs/>
          <w:sz w:val="24"/>
          <w:szCs w:val="24"/>
        </w:rPr>
      </w:pPr>
      <w:r>
        <w:rPr>
          <w:rFonts w:asciiTheme="majorBidi" w:hAnsiTheme="majorBidi" w:cstheme="majorBidi"/>
          <w:sz w:val="24"/>
          <w:szCs w:val="24"/>
        </w:rPr>
        <w:t xml:space="preserve">Un certain nombre de méthodes prenant en compte des paramètres simples permettent de préciser les conditions climatiques des différentes stations. Pour déterminer le climat de notre région, nous utilisons les formules empiriques suivantes </w:t>
      </w:r>
    </w:p>
    <w:p>
      <w:pPr>
        <w:tabs>
          <w:tab w:val="left" w:pos="1260"/>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7.1. Indice d'aridité de Martonne :</w:t>
      </w:r>
    </w:p>
    <w:p>
      <w:pPr>
        <w:tabs>
          <w:tab w:val="left" w:pos="1260"/>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La formule de DE-MARTONNE, qui exprime l’indice d’aridité « I » en fonction de précipitation et de la température s’énonce comme suit :</w:t>
      </w:r>
    </w:p>
    <w:p>
      <w:pPr>
        <w:tabs>
          <w:tab w:val="left" w:pos="1260"/>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I=P/T+10</w:t>
      </w:r>
    </w:p>
    <w:p>
      <w:pPr>
        <w:tabs>
          <w:tab w:val="left" w:pos="1260"/>
        </w:tabs>
        <w:spacing w:after="0" w:line="360" w:lineRule="auto"/>
        <w:jc w:val="both"/>
        <w:rPr>
          <w:rFonts w:asciiTheme="majorBidi" w:hAnsiTheme="majorBidi" w:cstheme="majorBidi"/>
          <w:sz w:val="24"/>
          <w:szCs w:val="24"/>
        </w:rPr>
      </w:pPr>
      <w:r>
        <w:rPr>
          <w:rFonts w:asciiTheme="majorBidi" w:hAnsiTheme="majorBidi" w:cstheme="majorBidi"/>
          <w:sz w:val="24"/>
          <w:szCs w:val="24"/>
        </w:rPr>
        <w:t>I : Indice d'aridité annuel</w:t>
      </w:r>
    </w:p>
    <w:p>
      <w:pPr>
        <w:tabs>
          <w:tab w:val="left" w:pos="1260"/>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P : représente la moyenne des précipitations annuelles pour la période (1989-2008)  en (mm). </w:t>
      </w:r>
    </w:p>
    <w:p>
      <w:pPr>
        <w:tabs>
          <w:tab w:val="left" w:pos="1260"/>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T : la température moyenne pour cette même période en (C°). </w:t>
      </w:r>
    </w:p>
    <w:p>
      <w:pPr>
        <w:tabs>
          <w:tab w:val="left" w:pos="1260"/>
        </w:tabs>
        <w:spacing w:after="0" w:line="360" w:lineRule="auto"/>
        <w:jc w:val="both"/>
        <w:rPr>
          <w:rFonts w:asciiTheme="majorBidi" w:hAnsiTheme="majorBidi" w:cstheme="majorBidi"/>
          <w:sz w:val="24"/>
          <w:szCs w:val="24"/>
        </w:rPr>
      </w:pPr>
      <w:r>
        <w:rPr>
          <w:rFonts w:asciiTheme="majorBidi" w:hAnsiTheme="majorBidi" w:cstheme="majorBidi"/>
          <w:sz w:val="24"/>
          <w:szCs w:val="24"/>
        </w:rPr>
        <w:t>Pour : 20&lt; I &lt; 30 : Climat tempéré.</w:t>
      </w:r>
    </w:p>
    <w:p>
      <w:pPr>
        <w:tabs>
          <w:tab w:val="left" w:pos="1260"/>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10&lt; I &lt; 20 : Climat semi-aride.</w:t>
      </w:r>
    </w:p>
    <w:p>
      <w:pPr>
        <w:tabs>
          <w:tab w:val="left" w:pos="1260"/>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7,5&lt; I &lt;10 : Climat steppique.</w:t>
      </w:r>
    </w:p>
    <w:p>
      <w:pPr>
        <w:tabs>
          <w:tab w:val="left" w:pos="1260"/>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5&lt; I &lt; 7,5 : Climat désertique.</w:t>
      </w:r>
    </w:p>
    <w:p>
      <w:pPr>
        <w:tabs>
          <w:tab w:val="left" w:pos="1260"/>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I&lt; 5 : Climat hyperaride.</w:t>
      </w:r>
    </w:p>
    <w:p>
      <w:pPr>
        <w:spacing w:line="360" w:lineRule="auto"/>
        <w:jc w:val="center"/>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5810250" cy="6435725"/>
            <wp:effectExtent l="53975" t="53975" r="117475" b="11430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818476" cy="644483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line="360" w:lineRule="auto"/>
        <w:jc w:val="center"/>
        <w:rPr>
          <w:rFonts w:asciiTheme="majorBidi" w:hAnsiTheme="majorBidi" w:cstheme="majorBidi"/>
          <w:sz w:val="24"/>
          <w:szCs w:val="24"/>
        </w:rPr>
      </w:pPr>
      <w:r>
        <w:rPr>
          <w:rFonts w:asciiTheme="majorBidi" w:hAnsiTheme="majorBidi" w:cstheme="majorBidi"/>
          <w:sz w:val="24"/>
          <w:szCs w:val="24"/>
        </w:rPr>
        <w:t>Fig n°19: d’indice d’aridité annuel de De-Martonne.</w:t>
      </w:r>
    </w:p>
    <w:p>
      <w:pPr>
        <w:tabs>
          <w:tab w:val="left" w:pos="3255"/>
        </w:tabs>
        <w:spacing w:after="0" w:line="360" w:lineRule="auto"/>
        <w:jc w:val="both"/>
        <w:rPr>
          <w:rFonts w:asciiTheme="majorBidi" w:hAnsiTheme="majorBidi" w:cstheme="majorBidi"/>
          <w:sz w:val="24"/>
          <w:szCs w:val="24"/>
        </w:rPr>
      </w:pPr>
      <w:r>
        <w:rPr>
          <w:rFonts w:asciiTheme="majorBidi" w:hAnsiTheme="majorBidi" w:cstheme="majorBidi"/>
          <w:sz w:val="24"/>
          <w:szCs w:val="24"/>
        </w:rPr>
        <w:t>Dans notre cas et pour la station de Mostaganem, nous avons les paramètres suivants :</w:t>
      </w:r>
    </w:p>
    <w:p>
      <w:pPr>
        <w:tabs>
          <w:tab w:val="left" w:pos="3255"/>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P = 394.14mm.</w:t>
      </w:r>
    </w:p>
    <w:p>
      <w:pPr>
        <w:tabs>
          <w:tab w:val="left" w:pos="3255"/>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T = 17.77°C.</w:t>
      </w:r>
    </w:p>
    <w:p>
      <w:pPr>
        <w:tabs>
          <w:tab w:val="left" w:pos="3255"/>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Alors :   I = 14.19. </w:t>
      </w:r>
    </w:p>
    <w:p>
      <w:pPr>
        <w:tabs>
          <w:tab w:val="left" w:pos="3255"/>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Pour la station de Mostaganem (période 1989-2008), l’indice d’aridité annuel « I »est compris entre 10 et 20, dénotant un climat semi-aride.</w:t>
      </w:r>
    </w:p>
    <w:p>
      <w:pPr>
        <w:tabs>
          <w:tab w:val="left" w:pos="3255"/>
        </w:tabs>
        <w:spacing w:after="120" w:line="360" w:lineRule="auto"/>
        <w:jc w:val="both"/>
        <w:rPr>
          <w:rFonts w:asciiTheme="majorBidi" w:hAnsiTheme="majorBidi" w:cstheme="majorBidi"/>
          <w:sz w:val="24"/>
          <w:szCs w:val="24"/>
        </w:rPr>
      </w:pPr>
      <w:r>
        <w:rPr>
          <w:rFonts w:asciiTheme="majorBidi" w:hAnsiTheme="majorBidi" w:cstheme="majorBidi"/>
          <w:b/>
          <w:bCs/>
          <w:sz w:val="24"/>
          <w:szCs w:val="24"/>
        </w:rPr>
        <w:t>7.2. Indice de Stewart :</w:t>
      </w:r>
    </w:p>
    <w:p>
      <w:pPr>
        <w:tabs>
          <w:tab w:val="left" w:pos="3255"/>
        </w:tabs>
        <w:spacing w:after="120" w:line="360" w:lineRule="auto"/>
        <w:jc w:val="both"/>
        <w:rPr>
          <w:rFonts w:asciiTheme="majorBidi" w:hAnsiTheme="majorBidi" w:cstheme="majorBidi"/>
          <w:sz w:val="24"/>
          <w:szCs w:val="24"/>
        </w:rPr>
      </w:pPr>
      <w:r>
        <w:rPr>
          <w:rFonts w:asciiTheme="majorBidi" w:hAnsiTheme="majorBidi" w:cstheme="majorBidi"/>
          <w:sz w:val="24"/>
          <w:szCs w:val="24"/>
        </w:rPr>
        <w:t>Cet indice est basé sur l’écart entre la température la plus élevé et celle la plus faible, il est calculé par la relation :</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Qs = </w:t>
      </w:r>
      <w:r>
        <w:rPr>
          <w:rFonts w:asciiTheme="majorBidi" w:hAnsiTheme="majorBidi" w:cstheme="majorBidi"/>
          <w:sz w:val="24"/>
          <w:szCs w:val="24"/>
        </w:rPr>
        <w:t>P*3.43/ (M-m).</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Avec :</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Qs:</w:t>
      </w:r>
      <w:r>
        <w:rPr>
          <w:rFonts w:asciiTheme="majorBidi" w:hAnsiTheme="majorBidi" w:cstheme="majorBidi"/>
          <w:sz w:val="24"/>
          <w:szCs w:val="24"/>
        </w:rPr>
        <w:t xml:space="preserve"> Indice de Stewart.</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M :</w:t>
      </w:r>
      <w:r>
        <w:rPr>
          <w:rFonts w:asciiTheme="majorBidi" w:hAnsiTheme="majorBidi" w:cstheme="majorBidi"/>
          <w:sz w:val="24"/>
          <w:szCs w:val="24"/>
        </w:rPr>
        <w:t xml:space="preserve"> Moyenne des températures maximales du mois le plus chaud (°C).</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m:</w:t>
      </w:r>
      <w:r>
        <w:rPr>
          <w:rFonts w:asciiTheme="majorBidi" w:hAnsiTheme="majorBidi" w:cstheme="majorBidi"/>
          <w:sz w:val="24"/>
          <w:szCs w:val="24"/>
        </w:rPr>
        <w:t xml:space="preserve"> Moyenne des températures minimales du mois le plus froid (°C). </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 xml:space="preserve">Qs = </w:t>
      </w:r>
      <w:r>
        <w:rPr>
          <w:rFonts w:asciiTheme="majorBidi" w:hAnsiTheme="majorBidi" w:cstheme="majorBidi"/>
          <w:sz w:val="24"/>
          <w:szCs w:val="24"/>
        </w:rPr>
        <w:t>394.14*3,43/ (32,12-5,61)</w:t>
      </w:r>
    </w:p>
    <w:p>
      <w:pPr>
        <w:spacing w:after="0" w:line="360" w:lineRule="auto"/>
        <w:jc w:val="both"/>
        <w:rPr>
          <w:rFonts w:asciiTheme="majorBidi" w:hAnsiTheme="majorBidi" w:cstheme="majorBidi"/>
          <w:b/>
          <w:bCs/>
          <w:color w:val="FF0000"/>
          <w:sz w:val="24"/>
          <w:szCs w:val="24"/>
        </w:rPr>
      </w:pPr>
      <w:r>
        <w:rPr>
          <w:rFonts w:asciiTheme="majorBidi" w:hAnsiTheme="majorBidi" w:cstheme="majorBidi"/>
          <w:b/>
          <w:bCs/>
          <w:sz w:val="24"/>
          <w:szCs w:val="24"/>
        </w:rPr>
        <w:t>Qs=</w:t>
      </w:r>
      <w:r>
        <w:rPr>
          <w:rFonts w:asciiTheme="majorBidi" w:hAnsiTheme="majorBidi" w:cstheme="majorBidi"/>
          <w:sz w:val="24"/>
          <w:szCs w:val="24"/>
        </w:rPr>
        <w:t>50,99.</w:t>
      </w:r>
      <w:r>
        <w:rPr>
          <w:rFonts w:asciiTheme="majorBidi" w:hAnsiTheme="majorBidi" w:cstheme="majorBidi"/>
          <w:b/>
          <w:bCs/>
          <w:sz w:val="24"/>
          <w:szCs w:val="24"/>
        </w:rPr>
        <w:t xml:space="preserve">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 La valeur de l’indice de Stewart qui est comprise entre 10 et 60 montre que la région est soumise à un climat semi-aride.</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7.3. Indice climatique d’Emberger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 Pour préciser le type du climat dominant sur la région, on utilise l’indice d’Emberger qui se base sur le quotient d’écoulement et les températures minima et maxima, nous appliquons la formule :</w:t>
      </w:r>
    </w:p>
    <w:p>
      <w:pPr>
        <w:spacing w:after="0" w:line="360" w:lineRule="auto"/>
        <w:jc w:val="both"/>
        <w:rPr>
          <w:rFonts w:asciiTheme="majorBidi" w:hAnsiTheme="majorBidi" w:cstheme="majorBidi"/>
          <w:b/>
          <w:bCs/>
          <w:sz w:val="24"/>
          <w:szCs w:val="24"/>
          <w:vertAlign w:val="superscript"/>
        </w:rPr>
      </w:pPr>
      <w:r>
        <w:rPr>
          <w:rFonts w:asciiTheme="majorBidi" w:hAnsiTheme="majorBidi" w:cstheme="majorBidi"/>
          <w:b/>
          <w:bCs/>
          <w:sz w:val="24"/>
          <w:szCs w:val="24"/>
        </w:rPr>
        <w:t xml:space="preserve">QZ = </w:t>
      </w:r>
      <w:r>
        <w:rPr>
          <w:rFonts w:asciiTheme="majorBidi" w:hAnsiTheme="majorBidi" w:cstheme="majorBidi"/>
          <w:sz w:val="24"/>
          <w:szCs w:val="24"/>
        </w:rPr>
        <w:t>2000*P /M</w:t>
      </w:r>
      <w:r>
        <w:rPr>
          <w:rFonts w:asciiTheme="majorBidi" w:hAnsiTheme="majorBidi" w:cstheme="majorBidi"/>
          <w:sz w:val="24"/>
          <w:szCs w:val="24"/>
          <w:vertAlign w:val="superscript"/>
        </w:rPr>
        <w:t>2</w:t>
      </w:r>
      <w:r>
        <w:rPr>
          <w:rFonts w:asciiTheme="majorBidi" w:hAnsiTheme="majorBidi" w:cstheme="majorBidi"/>
          <w:sz w:val="24"/>
          <w:szCs w:val="24"/>
        </w:rPr>
        <w:t>-m</w:t>
      </w:r>
      <w:r>
        <w:rPr>
          <w:rFonts w:asciiTheme="majorBidi" w:hAnsiTheme="majorBidi" w:cstheme="majorBidi"/>
          <w:sz w:val="24"/>
          <w:szCs w:val="24"/>
          <w:vertAlign w:val="superscript"/>
        </w:rPr>
        <w:t>2</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Avec :</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QZ :</w:t>
      </w:r>
      <w:r>
        <w:rPr>
          <w:rFonts w:asciiTheme="majorBidi" w:hAnsiTheme="majorBidi" w:cstheme="majorBidi"/>
          <w:sz w:val="24"/>
          <w:szCs w:val="24"/>
        </w:rPr>
        <w:t xml:space="preserve"> Quotient pluviométrique d’Emberger.</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P :</w:t>
      </w:r>
      <w:r>
        <w:rPr>
          <w:rFonts w:asciiTheme="majorBidi" w:hAnsiTheme="majorBidi" w:cstheme="majorBidi"/>
          <w:sz w:val="24"/>
          <w:szCs w:val="24"/>
        </w:rPr>
        <w:t xml:space="preserve"> précipitations moyennes annuelles (mm).</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M :</w:t>
      </w:r>
      <w:r>
        <w:rPr>
          <w:rFonts w:asciiTheme="majorBidi" w:hAnsiTheme="majorBidi" w:cstheme="majorBidi"/>
          <w:sz w:val="24"/>
          <w:szCs w:val="24"/>
        </w:rPr>
        <w:t xml:space="preserve"> Moyenne des maxima des températures du mois le plus chaud en (K) = T (°C) + 273.15.</w:t>
      </w:r>
    </w:p>
    <w:p>
      <w:pPr>
        <w:spacing w:after="0" w:line="360" w:lineRule="auto"/>
        <w:rPr>
          <w:rFonts w:asciiTheme="majorBidi" w:hAnsiTheme="majorBidi" w:cstheme="majorBidi"/>
          <w:sz w:val="24"/>
          <w:szCs w:val="24"/>
        </w:rPr>
      </w:pPr>
      <w:r>
        <w:rPr>
          <w:rFonts w:asciiTheme="majorBidi" w:hAnsiTheme="majorBidi" w:cstheme="majorBidi"/>
          <w:b/>
          <w:bCs/>
          <w:sz w:val="24"/>
          <w:szCs w:val="24"/>
        </w:rPr>
        <w:t xml:space="preserve">M </w:t>
      </w:r>
      <w:r>
        <w:rPr>
          <w:rFonts w:asciiTheme="majorBidi" w:hAnsiTheme="majorBidi" w:cstheme="majorBidi"/>
          <w:sz w:val="24"/>
          <w:szCs w:val="24"/>
        </w:rPr>
        <w:t>=305.27  K</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m :</w:t>
      </w:r>
      <w:r>
        <w:rPr>
          <w:rFonts w:asciiTheme="majorBidi" w:hAnsiTheme="majorBidi" w:cstheme="majorBidi"/>
          <w:sz w:val="24"/>
          <w:szCs w:val="24"/>
        </w:rPr>
        <w:t xml:space="preserve"> Moyenne des minima des températures du mois le plus froid en (K) = T (°C) + 273.15</w:t>
      </w:r>
    </w:p>
    <w:p>
      <w:pPr>
        <w:spacing w:after="0" w:line="360" w:lineRule="auto"/>
        <w:rPr>
          <w:rFonts w:asciiTheme="majorBidi" w:hAnsiTheme="majorBidi" w:cstheme="majorBidi"/>
          <w:sz w:val="24"/>
          <w:szCs w:val="24"/>
        </w:rPr>
      </w:pPr>
      <w:r>
        <w:rPr>
          <w:rFonts w:asciiTheme="majorBidi" w:hAnsiTheme="majorBidi" w:cstheme="majorBidi"/>
          <w:b/>
          <w:bCs/>
          <w:sz w:val="24"/>
          <w:szCs w:val="24"/>
        </w:rPr>
        <w:t>m</w:t>
      </w:r>
      <w:r>
        <w:rPr>
          <w:rFonts w:asciiTheme="majorBidi" w:hAnsiTheme="majorBidi" w:cstheme="majorBidi"/>
          <w:sz w:val="24"/>
          <w:szCs w:val="24"/>
        </w:rPr>
        <w:t xml:space="preserve"> =278.77 K</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 xml:space="preserve">QZ = </w:t>
      </w:r>
      <w:r>
        <w:rPr>
          <w:rFonts w:asciiTheme="majorBidi" w:hAnsiTheme="majorBidi" w:cstheme="majorBidi"/>
          <w:sz w:val="24"/>
          <w:szCs w:val="24"/>
        </w:rPr>
        <w:t>2000* 394.14 / (305.27)</w:t>
      </w:r>
      <w:r>
        <w:rPr>
          <w:rFonts w:asciiTheme="majorBidi" w:hAnsiTheme="majorBidi" w:cstheme="majorBidi"/>
          <w:sz w:val="24"/>
          <w:szCs w:val="24"/>
          <w:vertAlign w:val="superscript"/>
        </w:rPr>
        <w:t>2</w:t>
      </w:r>
      <w:r>
        <w:rPr>
          <w:rFonts w:asciiTheme="majorBidi" w:hAnsiTheme="majorBidi" w:cstheme="majorBidi"/>
          <w:sz w:val="24"/>
          <w:szCs w:val="24"/>
        </w:rPr>
        <w:t>-(278.76)</w:t>
      </w:r>
      <w:r>
        <w:rPr>
          <w:rFonts w:asciiTheme="majorBidi" w:hAnsiTheme="majorBidi" w:cstheme="majorBidi"/>
          <w:sz w:val="24"/>
          <w:szCs w:val="24"/>
          <w:vertAlign w:val="superscript"/>
        </w:rPr>
        <w:t>2</w:t>
      </w:r>
      <w:r>
        <w:rPr>
          <w:rFonts w:asciiTheme="majorBidi" w:hAnsiTheme="majorBidi" w:cstheme="majorBidi"/>
          <w:sz w:val="24"/>
          <w:szCs w:val="24"/>
        </w:rPr>
        <w:t xml:space="preserve"> </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QZ =</w:t>
      </w:r>
      <w:r>
        <w:rPr>
          <w:rFonts w:asciiTheme="majorBidi" w:hAnsiTheme="majorBidi" w:cstheme="majorBidi"/>
          <w:sz w:val="24"/>
          <w:szCs w:val="24"/>
        </w:rPr>
        <w:t>50.90.</w:t>
      </w:r>
    </w:p>
    <w:p>
      <w:pPr>
        <w:spacing w:after="0" w:line="360" w:lineRule="auto"/>
        <w:jc w:val="both"/>
        <w:rPr>
          <w:rFonts w:asciiTheme="majorBidi" w:hAnsiTheme="majorBidi" w:cstheme="majorBidi"/>
          <w:color w:val="FF0000"/>
          <w:sz w:val="24"/>
          <w:szCs w:val="24"/>
        </w:rPr>
      </w:pP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lang w:eastAsia="fr-FR"/>
        </w:rPr>
        <w:drawing>
          <wp:inline distT="0" distB="0" distL="0" distR="0">
            <wp:extent cx="5667375" cy="4352925"/>
            <wp:effectExtent l="53975" t="53975" r="107950" b="114300"/>
            <wp:docPr id="21" name="Image 1" descr="C:\Users\belaribi med\Desktop\image\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1" descr="C:\Users\belaribi med\Desktop\image\so.png"/>
                    <pic:cNvPicPr>
                      <a:picLocks noChangeAspect="1" noChangeArrowheads="1"/>
                    </pic:cNvPicPr>
                  </pic:nvPicPr>
                  <pic:blipFill>
                    <a:blip r:embed="rId27"/>
                    <a:srcRect l="7151" r="25733" b="4619"/>
                    <a:stretch>
                      <a:fillRect/>
                    </a:stretch>
                  </pic:blipFill>
                  <pic:spPr>
                    <a:xfrm>
                      <a:off x="0" y="0"/>
                      <a:ext cx="5667375" cy="435292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Fig n°20: Représentation de l’indice climatique d’Emberger.</w:t>
      </w:r>
    </w:p>
    <w:p>
      <w:pPr>
        <w:spacing w:after="0" w:line="360" w:lineRule="auto"/>
        <w:ind w:firstLine="284"/>
        <w:jc w:val="both"/>
        <w:rPr>
          <w:rFonts w:asciiTheme="majorBidi" w:hAnsiTheme="majorBidi" w:cstheme="majorBidi"/>
          <w:b/>
          <w:bCs/>
          <w:sz w:val="24"/>
          <w:szCs w:val="24"/>
        </w:rPr>
      </w:pPr>
      <w:r>
        <w:rPr>
          <w:rFonts w:asciiTheme="majorBidi" w:hAnsiTheme="majorBidi" w:cstheme="majorBidi"/>
          <w:sz w:val="24"/>
          <w:szCs w:val="24"/>
        </w:rPr>
        <w:t>A partir du diagramme d’Emberger, la région se caractérise par un climat semi- aride avec un Hiver tempéré</w:t>
      </w:r>
      <w:r>
        <w:rPr>
          <w:rFonts w:asciiTheme="majorBidi" w:hAnsiTheme="majorBidi" w:cstheme="majorBidi"/>
          <w:b/>
          <w:bCs/>
          <w:sz w:val="24"/>
          <w:szCs w:val="24"/>
        </w:rPr>
        <w:t>.</w:t>
      </w:r>
    </w:p>
    <w:p>
      <w:pPr>
        <w:spacing w:after="0" w:line="360" w:lineRule="auto"/>
        <w:ind w:firstLine="567"/>
        <w:jc w:val="center"/>
        <w:rPr>
          <w:rFonts w:asciiTheme="majorBidi" w:hAnsiTheme="majorBidi" w:cstheme="majorBidi"/>
          <w:sz w:val="24"/>
          <w:szCs w:val="24"/>
        </w:rPr>
      </w:pPr>
      <w:r>
        <w:rPr>
          <w:rFonts w:asciiTheme="majorBidi" w:hAnsiTheme="majorBidi" w:cstheme="majorBidi"/>
          <w:sz w:val="24"/>
          <w:szCs w:val="24"/>
        </w:rPr>
        <w:t>Tableaux n°11: les indices climatiques</w:t>
      </w:r>
    </w:p>
    <w:tbl>
      <w:tblPr>
        <w:tblStyle w:val="11"/>
        <w:tblpPr w:leftFromText="141" w:rightFromText="141" w:vertAnchor="text" w:horzAnchor="margin" w:tblpX="108" w:tblpY="84"/>
        <w:tblW w:w="96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8"/>
        <w:gridCol w:w="2333"/>
        <w:gridCol w:w="45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718"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L’indice climatique</w:t>
            </w:r>
          </w:p>
        </w:tc>
        <w:tc>
          <w:tcPr>
            <w:tcW w:w="2333"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Les valeurs de I</w:t>
            </w:r>
          </w:p>
        </w:tc>
        <w:tc>
          <w:tcPr>
            <w:tcW w:w="4579"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Type de climat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2718"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I d’aridité de de Martonne</w:t>
            </w:r>
          </w:p>
        </w:tc>
        <w:tc>
          <w:tcPr>
            <w:tcW w:w="2333"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I =14.19</w:t>
            </w:r>
          </w:p>
        </w:tc>
        <w:tc>
          <w:tcPr>
            <w:tcW w:w="4579"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Climat semi-aride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2718"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I de Stewart</w:t>
            </w:r>
          </w:p>
        </w:tc>
        <w:tc>
          <w:tcPr>
            <w:tcW w:w="2333"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I =50.98</w:t>
            </w:r>
          </w:p>
        </w:tc>
        <w:tc>
          <w:tcPr>
            <w:tcW w:w="4579"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Climat semi-aride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2718" w:type="dxa"/>
            <w:shd w:val="clear" w:color="auto" w:fill="00B0F0"/>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I d’Emberger</w:t>
            </w:r>
          </w:p>
        </w:tc>
        <w:tc>
          <w:tcPr>
            <w:tcW w:w="2333"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I = 50.90</w:t>
            </w:r>
          </w:p>
        </w:tc>
        <w:tc>
          <w:tcPr>
            <w:tcW w:w="4579" w:type="dxa"/>
            <w:shd w:val="clear" w:color="auto" w:fill="auto"/>
            <w:vAlign w:val="center"/>
          </w:tcPr>
          <w:p>
            <w:pPr>
              <w:spacing w:after="0" w:line="360" w:lineRule="auto"/>
              <w:jc w:val="center"/>
              <w:rPr>
                <w:rFonts w:asciiTheme="majorBidi" w:hAnsiTheme="majorBidi" w:cstheme="majorBidi"/>
                <w:sz w:val="24"/>
                <w:szCs w:val="24"/>
              </w:rPr>
            </w:pPr>
            <w:r>
              <w:rPr>
                <w:rFonts w:asciiTheme="majorBidi" w:hAnsiTheme="majorBidi" w:cstheme="majorBidi"/>
                <w:sz w:val="24"/>
                <w:szCs w:val="24"/>
              </w:rPr>
              <w:t>Climat semi-aride avec un Hiver tempéré</w:t>
            </w:r>
          </w:p>
        </w:tc>
      </w:tr>
    </w:tbl>
    <w:p>
      <w:pPr>
        <w:tabs>
          <w:tab w:val="left" w:pos="567"/>
        </w:tabs>
        <w:spacing w:after="0" w:line="360" w:lineRule="auto"/>
        <w:jc w:val="both"/>
        <w:rPr>
          <w:rFonts w:asciiTheme="majorBidi" w:hAnsiTheme="majorBidi" w:cstheme="majorBidi"/>
          <w:b/>
          <w:bCs/>
          <w:sz w:val="24"/>
          <w:szCs w:val="24"/>
        </w:rPr>
      </w:pPr>
    </w:p>
    <w:p>
      <w:pPr>
        <w:tabs>
          <w:tab w:val="left" w:pos="567"/>
        </w:tabs>
        <w:spacing w:after="0" w:line="360" w:lineRule="auto"/>
        <w:jc w:val="both"/>
        <w:rPr>
          <w:rFonts w:asciiTheme="majorBidi" w:hAnsiTheme="majorBidi" w:cstheme="majorBidi"/>
          <w:sz w:val="24"/>
          <w:szCs w:val="24"/>
        </w:rPr>
      </w:pPr>
      <w:r>
        <w:rPr>
          <w:rFonts w:asciiTheme="majorBidi" w:hAnsiTheme="majorBidi" w:cstheme="majorBidi"/>
          <w:sz w:val="24"/>
          <w:szCs w:val="24"/>
        </w:rPr>
        <w:t>Les indices climatiques calculés permet de définir que notre secteur jouit  d’un climat méditerranéen semi-aride, caractérisé par un hiver tempéré.</w:t>
      </w:r>
    </w:p>
    <w:p>
      <w:pPr>
        <w:tabs>
          <w:tab w:val="left" w:pos="567"/>
        </w:tabs>
        <w:spacing w:after="0" w:line="360" w:lineRule="auto"/>
        <w:jc w:val="both"/>
        <w:rPr>
          <w:rFonts w:asciiTheme="majorBidi" w:hAnsiTheme="majorBidi" w:cstheme="majorBidi"/>
          <w:sz w:val="24"/>
          <w:szCs w:val="24"/>
        </w:rPr>
      </w:pPr>
    </w:p>
    <w:p>
      <w:pPr>
        <w:tabs>
          <w:tab w:val="left" w:pos="567"/>
        </w:tabs>
        <w:spacing w:after="0" w:line="360" w:lineRule="auto"/>
        <w:jc w:val="both"/>
        <w:rPr>
          <w:rFonts w:asciiTheme="majorBidi" w:hAnsiTheme="majorBidi" w:cstheme="majorBidi"/>
          <w:sz w:val="24"/>
          <w:szCs w:val="24"/>
        </w:rPr>
      </w:pPr>
    </w:p>
    <w:p>
      <w:pPr>
        <w:tabs>
          <w:tab w:val="left" w:pos="567"/>
        </w:tabs>
        <w:spacing w:after="0" w:line="360" w:lineRule="auto"/>
        <w:jc w:val="both"/>
        <w:rPr>
          <w:rFonts w:asciiTheme="majorBidi" w:hAnsiTheme="majorBidi" w:cstheme="majorBidi"/>
          <w:sz w:val="24"/>
          <w:szCs w:val="24"/>
        </w:rPr>
      </w:pPr>
    </w:p>
    <w:p>
      <w:pPr>
        <w:tabs>
          <w:tab w:val="left" w:pos="567"/>
        </w:tabs>
        <w:spacing w:after="0" w:line="360" w:lineRule="auto"/>
        <w:jc w:val="both"/>
        <w:rPr>
          <w:rFonts w:asciiTheme="majorBidi" w:hAnsiTheme="majorBidi" w:cstheme="majorBidi"/>
          <w:sz w:val="24"/>
          <w:szCs w:val="24"/>
        </w:rPr>
      </w:pPr>
      <w:r>
        <w:rPr>
          <w:rFonts w:asciiTheme="majorBidi" w:hAnsiTheme="majorBidi" w:cstheme="majorBidi"/>
          <w:b/>
          <w:bCs/>
          <w:sz w:val="24"/>
          <w:szCs w:val="24"/>
        </w:rPr>
        <w:t>8. Evapotranspiration et déficit d’écoulement :</w:t>
      </w:r>
    </w:p>
    <w:p>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8.1. Évaporation et l'Évapotranspiration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L'évaporation et l'évapotranspiration sont les deux phénomènes qui désignent les pertes en eaux par retour directe à l'atmosphère sous forme de vapeur d'eau, elles correspondent à un phénomène complexe regroupant à la fois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Des processus d'évaporation physique de l'eau contenue dans le sol et des processus de transpiration (qui interviennent par les végétaux) correspondant à l'utilisation de l'eau atmosphérique et de l'eau du sol par les végétaux et au rejet de vapeur d'eau dans l'atmosphère.</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8.1.1. L'évapotranspiration potentielle (ETP)</w:t>
      </w:r>
    </w:p>
    <w:p>
      <w:pPr>
        <w:tabs>
          <w:tab w:val="left" w:pos="1418"/>
        </w:tabs>
        <w:spacing w:after="0" w:line="360" w:lineRule="auto"/>
        <w:rPr>
          <w:rFonts w:asciiTheme="majorBidi" w:hAnsiTheme="majorBidi" w:cstheme="majorBidi"/>
          <w:b/>
          <w:bCs/>
          <w:sz w:val="24"/>
          <w:szCs w:val="24"/>
        </w:rPr>
      </w:pPr>
      <w:r>
        <w:rPr>
          <w:rFonts w:asciiTheme="majorBidi" w:hAnsiTheme="majorBidi" w:cstheme="majorBidi"/>
          <w:b/>
          <w:bCs/>
          <w:sz w:val="24"/>
          <w:szCs w:val="24"/>
        </w:rPr>
        <w:t xml:space="preserve">ETP = </w:t>
      </w:r>
      <w:r>
        <w:rPr>
          <w:rFonts w:asciiTheme="majorBidi" w:hAnsiTheme="majorBidi" w:cstheme="majorBidi"/>
          <w:sz w:val="24"/>
          <w:szCs w:val="24"/>
        </w:rPr>
        <w:t>16*(10T/I)</w:t>
      </w:r>
      <w:r>
        <w:rPr>
          <w:rFonts w:asciiTheme="majorBidi" w:hAnsiTheme="majorBidi" w:cstheme="majorBidi"/>
          <w:sz w:val="32"/>
          <w:szCs w:val="32"/>
          <w:vertAlign w:val="superscript"/>
        </w:rPr>
        <w:t xml:space="preserve"> a </w:t>
      </w:r>
      <w:r>
        <w:rPr>
          <w:rFonts w:asciiTheme="majorBidi" w:hAnsiTheme="majorBidi" w:cstheme="majorBidi"/>
          <w:sz w:val="32"/>
          <w:szCs w:val="32"/>
        </w:rPr>
        <w:t xml:space="preserve">* </w:t>
      </w:r>
      <w:r>
        <w:rPr>
          <w:rFonts w:asciiTheme="majorBidi" w:hAnsiTheme="majorBidi" w:cstheme="majorBidi"/>
          <w:sz w:val="24"/>
          <w:szCs w:val="24"/>
        </w:rPr>
        <w:t>K</w:t>
      </w:r>
      <w:r>
        <w:rPr>
          <w:rFonts w:asciiTheme="majorBidi" w:hAnsiTheme="majorBidi" w:cstheme="majorBidi"/>
          <w:b/>
          <w:bCs/>
          <w:sz w:val="24"/>
          <w:szCs w:val="24"/>
        </w:rPr>
        <w:t>.</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Avec :</w:t>
      </w:r>
    </w:p>
    <w:p>
      <w:pPr>
        <w:spacing w:after="0" w:line="360" w:lineRule="auto"/>
        <w:rPr>
          <w:rFonts w:asciiTheme="majorBidi" w:hAnsiTheme="majorBidi" w:cstheme="majorBidi"/>
          <w:sz w:val="24"/>
          <w:szCs w:val="24"/>
        </w:rPr>
      </w:pPr>
      <w:r>
        <w:rPr>
          <w:rFonts w:asciiTheme="majorBidi" w:hAnsiTheme="majorBidi" w:cstheme="majorBidi"/>
          <w:b/>
          <w:bCs/>
          <w:sz w:val="24"/>
          <w:szCs w:val="24"/>
        </w:rPr>
        <w:t>ETP</w:t>
      </w:r>
      <w:r>
        <w:rPr>
          <w:rFonts w:asciiTheme="majorBidi" w:hAnsiTheme="majorBidi" w:cstheme="majorBidi"/>
          <w:sz w:val="24"/>
          <w:szCs w:val="24"/>
        </w:rPr>
        <w:t xml:space="preserve"> : évapotranspiration potentiel en (mm).</w:t>
      </w:r>
    </w:p>
    <w:p>
      <w:pPr>
        <w:spacing w:after="0" w:line="360" w:lineRule="auto"/>
        <w:rPr>
          <w:rFonts w:asciiTheme="majorBidi" w:hAnsiTheme="majorBidi" w:cstheme="majorBidi"/>
          <w:sz w:val="24"/>
          <w:szCs w:val="24"/>
        </w:rPr>
      </w:pPr>
      <w:r>
        <w:rPr>
          <w:rFonts w:asciiTheme="majorBidi" w:hAnsiTheme="majorBidi" w:cstheme="majorBidi"/>
          <w:b/>
          <w:bCs/>
          <w:sz w:val="24"/>
          <w:szCs w:val="24"/>
        </w:rPr>
        <w:t>T :</w:t>
      </w:r>
      <w:r>
        <w:rPr>
          <w:rFonts w:asciiTheme="majorBidi" w:hAnsiTheme="majorBidi" w:cstheme="majorBidi"/>
          <w:sz w:val="24"/>
          <w:szCs w:val="24"/>
        </w:rPr>
        <w:t xml:space="preserve"> températures moyenne mensuelle.</w:t>
      </w:r>
    </w:p>
    <w:p>
      <w:pPr>
        <w:spacing w:after="0" w:line="360" w:lineRule="auto"/>
        <w:rPr>
          <w:rFonts w:asciiTheme="majorBidi" w:hAnsiTheme="majorBidi" w:cstheme="majorBidi"/>
          <w:sz w:val="24"/>
          <w:szCs w:val="24"/>
          <w:vertAlign w:val="superscript"/>
        </w:rPr>
      </w:pPr>
      <w:r>
        <w:rPr>
          <w:rFonts w:asciiTheme="majorBidi" w:hAnsiTheme="majorBidi" w:cstheme="majorBidi"/>
          <w:b/>
          <w:bCs/>
          <w:sz w:val="24"/>
          <w:szCs w:val="24"/>
          <w:lang w:val="en-US"/>
        </w:rPr>
        <w:t>I:</w:t>
      </w:r>
      <w:r>
        <w:rPr>
          <w:rFonts w:asciiTheme="majorBidi" w:hAnsiTheme="majorBidi" w:cstheme="majorBidi"/>
          <w:sz w:val="24"/>
          <w:szCs w:val="24"/>
          <w:lang w:val="en-US"/>
        </w:rPr>
        <w:t xml:space="preserve"> </w:t>
      </w:r>
      <w:r>
        <w:rPr>
          <w:rFonts w:asciiTheme="majorBidi" w:hAnsiTheme="majorBidi" w:cstheme="majorBidi"/>
          <w:sz w:val="24"/>
          <w:szCs w:val="24"/>
        </w:rPr>
        <w:t>indice</w:t>
      </w:r>
      <w:r>
        <w:rPr>
          <w:rFonts w:asciiTheme="majorBidi" w:hAnsiTheme="majorBidi" w:cstheme="majorBidi"/>
          <w:sz w:val="24"/>
          <w:szCs w:val="24"/>
          <w:lang w:val="en-US"/>
        </w:rPr>
        <w:t xml:space="preserve"> </w:t>
      </w:r>
      <w:r>
        <w:rPr>
          <w:rFonts w:asciiTheme="majorBidi" w:hAnsiTheme="majorBidi" w:cstheme="majorBidi"/>
          <w:sz w:val="24"/>
          <w:szCs w:val="24"/>
        </w:rPr>
        <w:t>thermique</w:t>
      </w:r>
      <w:r>
        <w:rPr>
          <w:rFonts w:asciiTheme="majorBidi" w:hAnsiTheme="majorBidi" w:cstheme="majorBidi"/>
          <w:sz w:val="24"/>
          <w:szCs w:val="24"/>
          <w:lang w:val="en-US"/>
        </w:rPr>
        <w:t xml:space="preserve"> annuel, avec I = ∑ I,</w:t>
      </w:r>
      <w:r>
        <w:rPr>
          <w:rFonts w:asciiTheme="majorBidi" w:hAnsiTheme="majorBidi" w:cstheme="majorBidi"/>
          <w:sz w:val="24"/>
          <w:szCs w:val="24"/>
          <w:lang w:val="en-US"/>
        </w:rPr>
        <w:tab/>
      </w:r>
      <w:r>
        <w:rPr>
          <w:rFonts w:asciiTheme="majorBidi" w:hAnsiTheme="majorBidi" w:cstheme="majorBidi"/>
          <w:sz w:val="24"/>
          <w:szCs w:val="24"/>
        </w:rPr>
        <w:t>i = (t/5)</w:t>
      </w:r>
      <w:r>
        <w:rPr>
          <w:rFonts w:asciiTheme="majorBidi" w:hAnsiTheme="majorBidi" w:cstheme="majorBidi"/>
          <w:sz w:val="24"/>
          <w:szCs w:val="24"/>
          <w:vertAlign w:val="superscript"/>
        </w:rPr>
        <w:t>1.514</w:t>
      </w:r>
    </w:p>
    <w:p>
      <w:pPr>
        <w:spacing w:after="0" w:line="360" w:lineRule="auto"/>
        <w:rPr>
          <w:rFonts w:asciiTheme="majorBidi" w:hAnsiTheme="majorBidi" w:cstheme="majorBidi"/>
          <w:sz w:val="24"/>
          <w:szCs w:val="24"/>
        </w:rPr>
      </w:pPr>
      <w:r>
        <w:rPr>
          <w:rFonts w:asciiTheme="majorBidi" w:hAnsiTheme="majorBidi" w:cstheme="majorBidi"/>
          <w:b/>
          <w:bCs/>
          <w:sz w:val="24"/>
          <w:szCs w:val="24"/>
        </w:rPr>
        <w:t>a :</w:t>
      </w:r>
      <w:r>
        <w:rPr>
          <w:rFonts w:asciiTheme="majorBidi" w:hAnsiTheme="majorBidi" w:cstheme="majorBidi"/>
          <w:sz w:val="24"/>
          <w:szCs w:val="24"/>
        </w:rPr>
        <w:t xml:space="preserve"> coefficient en fonction de I, Avec a = 6,75*10</w:t>
      </w:r>
      <w:r>
        <w:rPr>
          <w:rFonts w:asciiTheme="majorBidi" w:hAnsiTheme="majorBidi" w:cstheme="majorBidi"/>
          <w:sz w:val="24"/>
          <w:szCs w:val="24"/>
          <w:vertAlign w:val="superscript"/>
        </w:rPr>
        <w:t>-7</w:t>
      </w:r>
      <w:r>
        <w:rPr>
          <w:rFonts w:asciiTheme="majorBidi" w:hAnsiTheme="majorBidi" w:cstheme="majorBidi"/>
          <w:sz w:val="24"/>
          <w:szCs w:val="24"/>
        </w:rPr>
        <w:t>*I</w:t>
      </w:r>
      <w:r>
        <w:rPr>
          <w:rFonts w:asciiTheme="majorBidi" w:hAnsiTheme="majorBidi" w:cstheme="majorBidi"/>
          <w:sz w:val="24"/>
          <w:szCs w:val="24"/>
          <w:vertAlign w:val="superscript"/>
        </w:rPr>
        <w:t>3</w:t>
      </w:r>
      <w:r>
        <w:rPr>
          <w:rFonts w:asciiTheme="majorBidi" w:hAnsiTheme="majorBidi" w:cstheme="majorBidi"/>
          <w:sz w:val="24"/>
          <w:szCs w:val="24"/>
        </w:rPr>
        <w:t xml:space="preserve"> – 7,71*10</w:t>
      </w:r>
      <w:r>
        <w:rPr>
          <w:rFonts w:asciiTheme="majorBidi" w:hAnsiTheme="majorBidi" w:cstheme="majorBidi"/>
          <w:sz w:val="24"/>
          <w:szCs w:val="24"/>
          <w:vertAlign w:val="superscript"/>
        </w:rPr>
        <w:t>-5</w:t>
      </w:r>
      <w:r>
        <w:rPr>
          <w:rFonts w:asciiTheme="majorBidi" w:hAnsiTheme="majorBidi" w:cstheme="majorBidi"/>
          <w:sz w:val="24"/>
          <w:szCs w:val="24"/>
        </w:rPr>
        <w:t xml:space="preserve"> * I</w:t>
      </w:r>
      <w:r>
        <w:rPr>
          <w:rFonts w:asciiTheme="majorBidi" w:hAnsiTheme="majorBidi" w:cstheme="majorBidi"/>
          <w:sz w:val="24"/>
          <w:szCs w:val="24"/>
          <w:vertAlign w:val="superscript"/>
        </w:rPr>
        <w:t>2</w:t>
      </w:r>
      <w:r>
        <w:rPr>
          <w:rFonts w:asciiTheme="majorBidi" w:hAnsiTheme="majorBidi" w:cstheme="majorBidi"/>
          <w:sz w:val="24"/>
          <w:szCs w:val="24"/>
        </w:rPr>
        <w:t xml:space="preserve"> + 1,79*10</w:t>
      </w:r>
      <w:r>
        <w:rPr>
          <w:rFonts w:asciiTheme="majorBidi" w:hAnsiTheme="majorBidi" w:cstheme="majorBidi"/>
          <w:sz w:val="24"/>
          <w:szCs w:val="24"/>
          <w:vertAlign w:val="superscript"/>
        </w:rPr>
        <w:t>-2</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*I+ 0,49239.</w:t>
      </w:r>
    </w:p>
    <w:p>
      <w:pPr>
        <w:spacing w:after="0" w:line="360" w:lineRule="auto"/>
        <w:rPr>
          <w:rFonts w:asciiTheme="majorBidi" w:hAnsiTheme="majorBidi" w:cstheme="majorBidi"/>
          <w:b/>
          <w:bCs/>
          <w:sz w:val="24"/>
          <w:szCs w:val="24"/>
          <w:vertAlign w:val="superscript"/>
        </w:rPr>
      </w:pPr>
      <w:r>
        <w:rPr>
          <w:rFonts w:asciiTheme="majorBidi" w:hAnsiTheme="majorBidi" w:cstheme="majorBidi"/>
          <w:b/>
          <w:bCs/>
          <w:sz w:val="24"/>
          <w:szCs w:val="24"/>
        </w:rPr>
        <w:t>K :</w:t>
      </w:r>
      <w:r>
        <w:rPr>
          <w:rFonts w:asciiTheme="majorBidi" w:hAnsiTheme="majorBidi" w:cstheme="majorBidi"/>
          <w:sz w:val="24"/>
          <w:szCs w:val="24"/>
        </w:rPr>
        <w:t xml:space="preserve"> le facteur mensuel relatif au mois et fonction de la latitude.</w:t>
      </w:r>
    </w:p>
    <w:p>
      <w:pPr>
        <w:spacing w:after="0" w:line="360" w:lineRule="auto"/>
        <w:jc w:val="center"/>
        <w:rPr>
          <w:rFonts w:asciiTheme="majorBidi" w:hAnsiTheme="majorBidi" w:cstheme="majorBidi"/>
          <w:b/>
          <w:bCs/>
          <w:sz w:val="24"/>
          <w:szCs w:val="24"/>
        </w:rPr>
      </w:pPr>
      <w:r>
        <w:rPr>
          <w:rFonts w:asciiTheme="majorBidi" w:hAnsiTheme="majorBidi" w:cstheme="majorBidi"/>
          <w:sz w:val="24"/>
          <w:szCs w:val="24"/>
        </w:rPr>
        <w:t>Tableau n°12 : calcule de l’évapotranspiration potentielle de la station de Mostaganem</w:t>
      </w:r>
      <w:r>
        <w:rPr>
          <w:rFonts w:asciiTheme="majorBidi" w:hAnsiTheme="majorBidi" w:cstheme="majorBidi"/>
          <w:b/>
          <w:bCs/>
          <w:sz w:val="24"/>
          <w:szCs w:val="24"/>
        </w:rPr>
        <w:t>.</w:t>
      </w:r>
    </w:p>
    <w:tbl>
      <w:tblPr>
        <w:tblStyle w:val="11"/>
        <w:tblpPr w:leftFromText="141" w:rightFromText="141" w:vertAnchor="text" w:horzAnchor="margin" w:tblpXSpec="center" w:tblpY="73"/>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3"/>
        <w:gridCol w:w="993"/>
        <w:gridCol w:w="984"/>
        <w:gridCol w:w="2485"/>
        <w:gridCol w:w="1559"/>
        <w:gridCol w:w="2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Mois</w:t>
            </w:r>
          </w:p>
        </w:tc>
        <w:tc>
          <w:tcPr>
            <w:tcW w:w="99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T</w:t>
            </w:r>
          </w:p>
        </w:tc>
        <w:tc>
          <w:tcPr>
            <w:tcW w:w="984"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i</w:t>
            </w:r>
          </w:p>
        </w:tc>
        <w:tc>
          <w:tcPr>
            <w:tcW w:w="2485"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ETP brute (mm)</w:t>
            </w:r>
          </w:p>
        </w:tc>
        <w:tc>
          <w:tcPr>
            <w:tcW w:w="1559"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K</w:t>
            </w:r>
          </w:p>
        </w:tc>
        <w:tc>
          <w:tcPr>
            <w:tcW w:w="2126"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ETP corrigée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Sep</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23.08</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10,12</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101.16</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1.03</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104.20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Oct.</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19,61</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7,92</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Calibri" w:hAnsi="Calibri" w:eastAsia="Times New Roman" w:cs="Times New Roman"/>
                <w:color w:val="000000"/>
                <w:lang w:eastAsia="fr-FR"/>
              </w:rPr>
              <w:t>75,02</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0.97</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72.77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Nov.</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14.64</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5,09</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Calibri" w:hAnsi="Calibri" w:eastAsia="Times New Roman" w:cs="Times New Roman"/>
                <w:color w:val="000000"/>
                <w:lang w:eastAsia="fr-FR"/>
              </w:rPr>
              <w:t>43,81</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0.86</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37.68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Déc.</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12,27</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3,9</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Calibri" w:hAnsi="Calibri" w:eastAsia="Times New Roman" w:cs="Times New Roman"/>
                <w:color w:val="000000"/>
                <w:lang w:eastAsia="fr-FR"/>
              </w:rPr>
              <w:t>31,61</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0.85</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26.87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Janv.</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10.89</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3,24</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Calibri" w:hAnsi="Calibri" w:eastAsia="Times New Roman" w:cs="Times New Roman"/>
                <w:color w:val="000000"/>
                <w:lang w:eastAsia="fr-FR"/>
              </w:rPr>
              <w:t>25,37</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0.87</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22.08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Fév.</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11,69</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3,62</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Calibri" w:hAnsi="Calibri" w:eastAsia="Times New Roman" w:cs="Times New Roman"/>
                <w:color w:val="000000"/>
                <w:lang w:eastAsia="fr-FR"/>
              </w:rPr>
              <w:t>28,96</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0.85</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24.62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Mar</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13.47</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4,48</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37.59</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1.03</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38.71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Avr.</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15,21</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5,38</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46.95</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1.09</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51.17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Mai</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18.51</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7,25</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67.46</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1.21</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81.62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Ju</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22,41</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9,69</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95.90</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1.21</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116.04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Juil.</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25.39</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11,70</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120.58</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1.23</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148.31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Aou</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26,22</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12,29</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128.02</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1.16</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148.51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Année</w:t>
            </w:r>
          </w:p>
        </w:tc>
        <w:tc>
          <w:tcPr>
            <w:tcW w:w="993"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17,77</w:t>
            </w:r>
          </w:p>
        </w:tc>
        <w:tc>
          <w:tcPr>
            <w:tcW w:w="984"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84,68</w:t>
            </w:r>
          </w:p>
        </w:tc>
        <w:tc>
          <w:tcPr>
            <w:tcW w:w="2485"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802.42</w:t>
            </w:r>
          </w:p>
        </w:tc>
        <w:tc>
          <w:tcPr>
            <w:tcW w:w="155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2126" w:type="dxa"/>
            <w:shd w:val="clear" w:color="auto" w:fill="auto"/>
            <w:vAlign w:val="center"/>
          </w:tcPr>
          <w:p>
            <w:pPr>
              <w:spacing w:after="0" w:line="360" w:lineRule="auto"/>
              <w:ind w:right="141"/>
              <w:jc w:val="center"/>
              <w:rPr>
                <w:rFonts w:asciiTheme="majorBidi" w:hAnsiTheme="majorBidi" w:cstheme="majorBidi"/>
              </w:rPr>
            </w:pPr>
            <w:r>
              <w:rPr>
                <w:rFonts w:ascii="Calibri" w:hAnsi="Calibri" w:eastAsia="Times New Roman" w:cs="Times New Roman"/>
                <w:color w:val="000000"/>
                <w:lang w:eastAsia="fr-FR"/>
              </w:rPr>
              <w:t>872,56</w:t>
            </w:r>
          </w:p>
        </w:tc>
      </w:tr>
    </w:tbl>
    <w:p>
      <w:pPr>
        <w:spacing w:after="0" w:line="360" w:lineRule="auto"/>
        <w:rPr>
          <w:rFonts w:asciiTheme="majorBidi" w:hAnsiTheme="majorBidi" w:cstheme="majorBidi"/>
          <w:sz w:val="24"/>
          <w:szCs w:val="24"/>
        </w:rPr>
      </w:pPr>
      <w:r>
        <w:rPr>
          <w:rFonts w:asciiTheme="majorBidi" w:hAnsiTheme="majorBidi" w:cstheme="majorBidi"/>
          <w:sz w:val="24"/>
          <w:szCs w:val="24"/>
        </w:rPr>
        <w:t>La détermination de l'évapotranspiration potentielle déduite à partir de la température et selon la méthode de Thorntwaite</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a= 1.8383</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8.1.2. L'évapotranspiration réelle (ETR) :</w:t>
      </w:r>
    </w:p>
    <w:p>
      <w:pPr>
        <w:spacing w:after="0" w:line="360" w:lineRule="auto"/>
        <w:rPr>
          <w:rFonts w:asciiTheme="majorBidi" w:hAnsiTheme="majorBidi" w:cstheme="majorBidi"/>
          <w:sz w:val="24"/>
          <w:szCs w:val="24"/>
        </w:rPr>
      </w:pPr>
      <w:r>
        <w:rPr>
          <w:rFonts w:asciiTheme="majorBidi" w:hAnsiTheme="majorBidi" w:cstheme="majorBidi"/>
          <w:sz w:val="24"/>
          <w:szCs w:val="24"/>
        </w:rPr>
        <w:t>L’évapotranspiration réelle est la quantité d’eau effectivement évaporée et transpirée, elle est toujours égale ou inférieur à l'évapotranspiration potentielle. Plusieurs méthodes de calcul peuvent être mise en œuvre.</w:t>
      </w:r>
    </w:p>
    <w:p>
      <w:pPr>
        <w:pStyle w:val="10"/>
        <w:numPr>
          <w:ilvl w:val="0"/>
          <w:numId w:val="19"/>
        </w:numPr>
        <w:spacing w:after="0" w:line="360" w:lineRule="auto"/>
        <w:rPr>
          <w:rFonts w:asciiTheme="majorBidi" w:hAnsiTheme="majorBidi" w:cstheme="majorBidi"/>
          <w:b/>
          <w:bCs/>
          <w:sz w:val="24"/>
          <w:szCs w:val="24"/>
        </w:rPr>
      </w:pPr>
      <w:r>
        <w:rPr>
          <w:rFonts w:asciiTheme="majorBidi" w:hAnsiTheme="majorBidi" w:cstheme="majorBidi"/>
          <w:b/>
          <w:bCs/>
          <w:sz w:val="24"/>
          <w:szCs w:val="24"/>
        </w:rPr>
        <w:t>Méthode de Thornthwaite :</w:t>
      </w:r>
    </w:p>
    <w:p>
      <w:pPr>
        <w:spacing w:after="0" w:line="360" w:lineRule="auto"/>
        <w:rPr>
          <w:rFonts w:asciiTheme="majorBidi" w:hAnsiTheme="majorBidi" w:cstheme="majorBidi"/>
          <w:sz w:val="24"/>
          <w:szCs w:val="24"/>
        </w:rPr>
      </w:pPr>
      <w:r>
        <w:rPr>
          <w:rFonts w:asciiTheme="majorBidi" w:hAnsiTheme="majorBidi" w:cstheme="majorBidi"/>
          <w:sz w:val="24"/>
          <w:szCs w:val="24"/>
        </w:rPr>
        <w:t>Deux cas sont à distinguer</w:t>
      </w:r>
    </w:p>
    <w:p>
      <w:pPr>
        <w:spacing w:after="0" w:line="360" w:lineRule="auto"/>
        <w:rPr>
          <w:rFonts w:asciiTheme="majorBidi" w:hAnsiTheme="majorBidi" w:cstheme="majorBidi"/>
          <w:sz w:val="24"/>
          <w:szCs w:val="24"/>
        </w:rPr>
      </w:pPr>
      <w:r>
        <w:rPr>
          <w:rFonts w:asciiTheme="majorBidi" w:hAnsiTheme="majorBidi" w:cstheme="majorBidi"/>
          <w:sz w:val="24"/>
          <w:szCs w:val="24"/>
        </w:rPr>
        <w:t>-Si P &gt; ETP : ETR= ETP.</w:t>
      </w:r>
    </w:p>
    <w:p>
      <w:pPr>
        <w:spacing w:after="0" w:line="360" w:lineRule="auto"/>
        <w:rPr>
          <w:rFonts w:asciiTheme="majorBidi" w:hAnsiTheme="majorBidi" w:cstheme="majorBidi"/>
          <w:sz w:val="24"/>
          <w:szCs w:val="24"/>
        </w:rPr>
      </w:pPr>
      <w:r>
        <w:rPr>
          <w:rFonts w:asciiTheme="majorBidi" w:hAnsiTheme="majorBidi" w:cstheme="majorBidi"/>
          <w:sz w:val="24"/>
          <w:szCs w:val="24"/>
        </w:rPr>
        <w:t>-Si P &lt; ETP : et dans la présence des réserves, ETR = ETP, lorsque ces réserves sont insuffisantes, donc nous avons un déficit et ETR = P.</w:t>
      </w:r>
    </w:p>
    <w:p>
      <w:pPr>
        <w:spacing w:after="0" w:line="360" w:lineRule="auto"/>
        <w:rPr>
          <w:rFonts w:asciiTheme="majorBidi" w:hAnsiTheme="majorBidi" w:cstheme="majorBidi"/>
          <w:sz w:val="24"/>
          <w:szCs w:val="24"/>
        </w:rPr>
      </w:pPr>
      <w:r>
        <w:rPr>
          <w:rFonts w:asciiTheme="majorBidi" w:hAnsiTheme="majorBidi" w:cstheme="majorBidi"/>
          <w:sz w:val="24"/>
          <w:szCs w:val="24"/>
        </w:rPr>
        <w:t>Nous avons une évapotranspiration réelle : ETR = 351.34mm</w:t>
      </w:r>
      <w:r>
        <w:rPr>
          <w:rFonts w:asciiTheme="majorBidi" w:hAnsiTheme="majorBidi" w:cstheme="majorBidi"/>
          <w:b/>
          <w:bCs/>
          <w:sz w:val="24"/>
          <w:szCs w:val="24"/>
        </w:rPr>
        <w:t xml:space="preserve"> </w:t>
      </w:r>
      <w:r>
        <w:rPr>
          <w:rFonts w:asciiTheme="majorBidi" w:hAnsiTheme="majorBidi" w:cstheme="majorBidi"/>
          <w:sz w:val="24"/>
          <w:szCs w:val="24"/>
        </w:rPr>
        <w:t>(tableau n°12)</w:t>
      </w:r>
    </w:p>
    <w:p>
      <w:pPr>
        <w:pStyle w:val="10"/>
        <w:numPr>
          <w:ilvl w:val="0"/>
          <w:numId w:val="19"/>
        </w:numPr>
        <w:spacing w:after="0" w:line="360" w:lineRule="auto"/>
        <w:rPr>
          <w:rFonts w:asciiTheme="majorBidi" w:hAnsiTheme="majorBidi" w:cstheme="majorBidi"/>
          <w:b/>
          <w:bCs/>
          <w:sz w:val="24"/>
          <w:szCs w:val="24"/>
        </w:rPr>
      </w:pPr>
      <w:r>
        <w:rPr>
          <w:rFonts w:asciiTheme="majorBidi" w:hAnsiTheme="majorBidi" w:cstheme="majorBidi"/>
          <w:b/>
          <w:bCs/>
          <w:sz w:val="24"/>
          <w:szCs w:val="24"/>
        </w:rPr>
        <w:t>Méthode de Turc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La formule de Turc est applicable à tous les climats, elle basée sur le calcul de l'évapotranspiration réelle et donnée par la relation :</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ETR = P /[ (0,9 + (P</w:t>
      </w:r>
      <w:r>
        <w:rPr>
          <w:rFonts w:asciiTheme="majorBidi" w:hAnsiTheme="majorBidi" w:cstheme="majorBidi"/>
          <w:b/>
          <w:bCs/>
          <w:sz w:val="24"/>
          <w:szCs w:val="24"/>
          <w:vertAlign w:val="superscript"/>
        </w:rPr>
        <w:t>2</w:t>
      </w:r>
      <w:r>
        <w:rPr>
          <w:rFonts w:asciiTheme="majorBidi" w:hAnsiTheme="majorBidi" w:cstheme="majorBidi"/>
          <w:b/>
          <w:bCs/>
          <w:sz w:val="24"/>
          <w:szCs w:val="24"/>
        </w:rPr>
        <w:t xml:space="preserve"> /L</w:t>
      </w:r>
      <w:r>
        <w:rPr>
          <w:rFonts w:asciiTheme="majorBidi" w:hAnsiTheme="majorBidi" w:cstheme="majorBidi"/>
          <w:b/>
          <w:bCs/>
          <w:sz w:val="24"/>
          <w:szCs w:val="24"/>
          <w:vertAlign w:val="superscript"/>
        </w:rPr>
        <w:t>2</w:t>
      </w:r>
      <w:r>
        <w:rPr>
          <w:rFonts w:asciiTheme="majorBidi" w:hAnsiTheme="majorBidi" w:cstheme="majorBidi"/>
          <w:b/>
          <w:bCs/>
          <w:sz w:val="24"/>
          <w:szCs w:val="24"/>
        </w:rPr>
        <w:t>)]</w:t>
      </w:r>
      <w:r>
        <w:rPr>
          <w:rFonts w:asciiTheme="majorBidi" w:hAnsiTheme="majorBidi" w:cstheme="majorBidi"/>
          <w:b/>
          <w:bCs/>
          <w:sz w:val="24"/>
          <w:szCs w:val="24"/>
          <w:vertAlign w:val="superscript"/>
        </w:rPr>
        <w:t>1/2</w:t>
      </w:r>
      <w:r>
        <w:rPr>
          <w:rFonts w:asciiTheme="majorBidi" w:hAnsiTheme="majorBidi" w:cstheme="majorBidi"/>
          <w:b/>
          <w:bCs/>
          <w:sz w:val="24"/>
          <w:szCs w:val="24"/>
        </w:rPr>
        <w:t>.</w:t>
      </w:r>
    </w:p>
    <w:p>
      <w:pPr>
        <w:spacing w:after="0" w:line="360" w:lineRule="auto"/>
        <w:rPr>
          <w:rFonts w:asciiTheme="majorBidi" w:hAnsiTheme="majorBidi" w:cstheme="majorBidi"/>
          <w:sz w:val="24"/>
          <w:szCs w:val="24"/>
        </w:rPr>
      </w:pPr>
      <w:r>
        <w:rPr>
          <w:rFonts w:asciiTheme="majorBidi" w:hAnsiTheme="majorBidi" w:cstheme="majorBidi"/>
          <w:sz w:val="24"/>
          <w:szCs w:val="24"/>
        </w:rPr>
        <w:t>Avec :</w:t>
      </w:r>
    </w:p>
    <w:p>
      <w:pPr>
        <w:spacing w:after="0" w:line="360" w:lineRule="auto"/>
        <w:rPr>
          <w:rFonts w:asciiTheme="majorBidi" w:hAnsiTheme="majorBidi" w:cstheme="majorBidi"/>
          <w:sz w:val="24"/>
          <w:szCs w:val="24"/>
        </w:rPr>
      </w:pPr>
      <w:r>
        <w:rPr>
          <w:rFonts w:asciiTheme="majorBidi" w:hAnsiTheme="majorBidi" w:cstheme="majorBidi"/>
          <w:b/>
          <w:bCs/>
          <w:sz w:val="24"/>
          <w:szCs w:val="24"/>
        </w:rPr>
        <w:t>ETR :</w:t>
      </w:r>
      <w:r>
        <w:rPr>
          <w:rFonts w:asciiTheme="majorBidi" w:hAnsiTheme="majorBidi" w:cstheme="majorBidi"/>
          <w:sz w:val="24"/>
          <w:szCs w:val="24"/>
        </w:rPr>
        <w:t xml:space="preserve"> évapotranspiration réelle.</w:t>
      </w:r>
    </w:p>
    <w:p>
      <w:pPr>
        <w:spacing w:after="0" w:line="360" w:lineRule="auto"/>
        <w:rPr>
          <w:rFonts w:asciiTheme="majorBidi" w:hAnsiTheme="majorBidi" w:cstheme="majorBidi"/>
          <w:sz w:val="24"/>
          <w:szCs w:val="24"/>
        </w:rPr>
      </w:pPr>
      <w:r>
        <w:rPr>
          <w:rFonts w:asciiTheme="majorBidi" w:hAnsiTheme="majorBidi" w:cstheme="majorBidi"/>
          <w:b/>
          <w:bCs/>
          <w:sz w:val="24"/>
          <w:szCs w:val="24"/>
        </w:rPr>
        <w:t>P :</w:t>
      </w:r>
      <w:r>
        <w:rPr>
          <w:rFonts w:asciiTheme="majorBidi" w:hAnsiTheme="majorBidi" w:cstheme="majorBidi"/>
          <w:sz w:val="24"/>
          <w:szCs w:val="24"/>
        </w:rPr>
        <w:t xml:space="preserve"> précipitations moyennes annuelles en mm</w:t>
      </w:r>
    </w:p>
    <w:p>
      <w:pPr>
        <w:spacing w:after="0" w:line="360" w:lineRule="auto"/>
        <w:rPr>
          <w:rFonts w:asciiTheme="majorBidi" w:hAnsiTheme="majorBidi" w:cstheme="majorBidi"/>
          <w:sz w:val="24"/>
          <w:szCs w:val="24"/>
        </w:rPr>
      </w:pPr>
      <w:r>
        <w:rPr>
          <w:rFonts w:asciiTheme="majorBidi" w:hAnsiTheme="majorBidi" w:cstheme="majorBidi"/>
          <w:b/>
          <w:bCs/>
          <w:sz w:val="24"/>
          <w:szCs w:val="24"/>
        </w:rPr>
        <w:t xml:space="preserve">L </w:t>
      </w:r>
      <w:r>
        <w:rPr>
          <w:rFonts w:asciiTheme="majorBidi" w:hAnsiTheme="majorBidi" w:cstheme="majorBidi"/>
          <w:sz w:val="24"/>
          <w:szCs w:val="24"/>
        </w:rPr>
        <w:t>= 300 + 25T + 0,05T</w:t>
      </w:r>
      <w:r>
        <w:rPr>
          <w:rFonts w:asciiTheme="majorBidi" w:hAnsiTheme="majorBidi" w:cstheme="majorBidi"/>
          <w:sz w:val="24"/>
          <w:szCs w:val="24"/>
          <w:vertAlign w:val="superscript"/>
        </w:rPr>
        <w:t>3</w:t>
      </w:r>
      <w:r>
        <w:rPr>
          <w:rFonts w:asciiTheme="majorBidi" w:hAnsiTheme="majorBidi" w:cstheme="majorBidi"/>
          <w:sz w:val="24"/>
          <w:szCs w:val="24"/>
        </w:rPr>
        <w:t>.</w:t>
      </w:r>
    </w:p>
    <w:p>
      <w:pPr>
        <w:spacing w:after="0" w:line="360" w:lineRule="auto"/>
        <w:rPr>
          <w:rFonts w:asciiTheme="majorBidi" w:hAnsiTheme="majorBidi" w:cstheme="majorBidi"/>
          <w:sz w:val="24"/>
          <w:szCs w:val="24"/>
        </w:rPr>
      </w:pPr>
      <w:r>
        <w:rPr>
          <w:rFonts w:asciiTheme="majorBidi" w:hAnsiTheme="majorBidi" w:cstheme="majorBidi"/>
          <w:b/>
          <w:bCs/>
          <w:sz w:val="24"/>
          <w:szCs w:val="24"/>
        </w:rPr>
        <w:t>T :</w:t>
      </w:r>
      <w:r>
        <w:rPr>
          <w:rFonts w:asciiTheme="majorBidi" w:hAnsiTheme="majorBidi" w:cstheme="majorBidi"/>
          <w:sz w:val="24"/>
          <w:szCs w:val="24"/>
        </w:rPr>
        <w:t xml:space="preserve"> température moyenne annuelle.</w:t>
      </w:r>
    </w:p>
    <w:p>
      <w:pPr>
        <w:spacing w:after="0" w:line="360" w:lineRule="auto"/>
        <w:rPr>
          <w:rFonts w:asciiTheme="majorBidi" w:hAnsiTheme="majorBidi" w:cstheme="majorBidi"/>
          <w:sz w:val="24"/>
          <w:szCs w:val="24"/>
        </w:rPr>
      </w:pPr>
      <w:r>
        <w:rPr>
          <w:rFonts w:asciiTheme="majorBidi" w:hAnsiTheme="majorBidi" w:cstheme="majorBidi"/>
          <w:sz w:val="24"/>
          <w:szCs w:val="24"/>
        </w:rPr>
        <w:t>Pour la station de Mostaganem (1989-2008) on a :</w:t>
      </w:r>
    </w:p>
    <w:p>
      <w:pPr>
        <w:spacing w:after="0" w:line="360" w:lineRule="auto"/>
        <w:rPr>
          <w:rFonts w:asciiTheme="majorBidi" w:hAnsiTheme="majorBidi" w:cstheme="majorBidi"/>
          <w:sz w:val="24"/>
          <w:szCs w:val="24"/>
        </w:rPr>
      </w:pPr>
      <w:r>
        <w:rPr>
          <w:rFonts w:asciiTheme="majorBidi" w:hAnsiTheme="majorBidi" w:cstheme="majorBidi"/>
          <w:b/>
          <w:bCs/>
          <w:sz w:val="24"/>
          <w:szCs w:val="24"/>
        </w:rPr>
        <w:t xml:space="preserve">T </w:t>
      </w:r>
      <w:r>
        <w:rPr>
          <w:rFonts w:asciiTheme="majorBidi" w:hAnsiTheme="majorBidi" w:cstheme="majorBidi"/>
          <w:sz w:val="24"/>
          <w:szCs w:val="24"/>
        </w:rPr>
        <w:t>= 17.77°C.</w:t>
      </w:r>
    </w:p>
    <w:p>
      <w:pPr>
        <w:spacing w:after="0" w:line="360" w:lineRule="auto"/>
        <w:rPr>
          <w:rFonts w:asciiTheme="majorBidi" w:hAnsiTheme="majorBidi" w:cstheme="majorBidi"/>
          <w:sz w:val="24"/>
          <w:szCs w:val="24"/>
        </w:rPr>
      </w:pPr>
      <w:r>
        <w:rPr>
          <w:rFonts w:asciiTheme="majorBidi" w:hAnsiTheme="majorBidi" w:cstheme="majorBidi"/>
          <w:b/>
          <w:bCs/>
          <w:sz w:val="24"/>
          <w:szCs w:val="24"/>
        </w:rPr>
        <w:t>P</w:t>
      </w:r>
      <w:r>
        <w:rPr>
          <w:rFonts w:asciiTheme="majorBidi" w:hAnsiTheme="majorBidi" w:cstheme="majorBidi"/>
          <w:sz w:val="24"/>
          <w:szCs w:val="24"/>
        </w:rPr>
        <w:t xml:space="preserve"> = 394.14 mm.</w:t>
      </w:r>
    </w:p>
    <w:p>
      <w:pPr>
        <w:spacing w:after="0" w:line="360" w:lineRule="auto"/>
        <w:rPr>
          <w:rFonts w:asciiTheme="majorBidi" w:hAnsiTheme="majorBidi" w:cstheme="majorBidi"/>
          <w:sz w:val="24"/>
          <w:szCs w:val="24"/>
        </w:rPr>
      </w:pPr>
      <w:r>
        <w:rPr>
          <w:rFonts w:asciiTheme="majorBidi" w:hAnsiTheme="majorBidi" w:cstheme="majorBidi"/>
          <w:b/>
          <w:bCs/>
          <w:sz w:val="24"/>
          <w:szCs w:val="24"/>
        </w:rPr>
        <w:t>L</w:t>
      </w:r>
      <w:r>
        <w:rPr>
          <w:rFonts w:asciiTheme="majorBidi" w:hAnsiTheme="majorBidi" w:cstheme="majorBidi"/>
          <w:sz w:val="24"/>
          <w:szCs w:val="24"/>
        </w:rPr>
        <w:t xml:space="preserve"> = 1024.81.</w:t>
      </w:r>
    </w:p>
    <w:p>
      <w:pPr>
        <w:spacing w:after="0" w:line="360" w:lineRule="auto"/>
        <w:rPr>
          <w:rFonts w:asciiTheme="majorBidi" w:hAnsiTheme="majorBidi" w:cstheme="majorBidi"/>
          <w:sz w:val="24"/>
          <w:szCs w:val="24"/>
        </w:rPr>
      </w:pPr>
      <w:r>
        <w:rPr>
          <w:rFonts w:asciiTheme="majorBidi" w:hAnsiTheme="majorBidi" w:cstheme="majorBidi"/>
          <w:b/>
          <w:bCs/>
          <w:sz w:val="24"/>
          <w:szCs w:val="24"/>
        </w:rPr>
        <w:t>ETR</w:t>
      </w:r>
      <w:r>
        <w:rPr>
          <w:rFonts w:asciiTheme="majorBidi" w:hAnsiTheme="majorBidi" w:cstheme="majorBidi"/>
          <w:sz w:val="24"/>
          <w:szCs w:val="24"/>
        </w:rPr>
        <w:t xml:space="preserve"> = 385.02mm</w:t>
      </w:r>
    </w:p>
    <w:p>
      <w:pPr>
        <w:pStyle w:val="10"/>
        <w:numPr>
          <w:ilvl w:val="0"/>
          <w:numId w:val="19"/>
        </w:numPr>
        <w:spacing w:after="0" w:line="360" w:lineRule="auto"/>
        <w:rPr>
          <w:rFonts w:asciiTheme="majorBidi" w:hAnsiTheme="majorBidi" w:cstheme="majorBidi"/>
          <w:b/>
          <w:bCs/>
          <w:sz w:val="24"/>
          <w:szCs w:val="24"/>
        </w:rPr>
      </w:pPr>
      <w:r>
        <w:rPr>
          <w:rFonts w:asciiTheme="majorBidi" w:hAnsiTheme="majorBidi" w:cstheme="majorBidi"/>
          <w:b/>
          <w:bCs/>
          <w:sz w:val="24"/>
          <w:szCs w:val="24"/>
        </w:rPr>
        <w:t>Méthode de Coutagne :</w:t>
      </w:r>
    </w:p>
    <w:p>
      <w:pPr>
        <w:spacing w:after="0" w:line="360" w:lineRule="auto"/>
        <w:rPr>
          <w:rFonts w:asciiTheme="majorBidi" w:hAnsiTheme="majorBidi" w:cstheme="majorBidi"/>
          <w:sz w:val="24"/>
          <w:szCs w:val="24"/>
        </w:rPr>
      </w:pPr>
      <w:r>
        <w:rPr>
          <w:rFonts w:asciiTheme="majorBidi" w:hAnsiTheme="majorBidi" w:cstheme="majorBidi"/>
          <w:sz w:val="24"/>
          <w:szCs w:val="24"/>
        </w:rPr>
        <w:t>D’après Coutagne, l’évapotranspiration réelle est donnée par l’expression :</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 xml:space="preserve">ETR = </w:t>
      </w:r>
      <w:r>
        <w:rPr>
          <w:rFonts w:asciiTheme="majorBidi" w:hAnsiTheme="majorBidi" w:cstheme="majorBidi"/>
          <w:sz w:val="24"/>
          <w:szCs w:val="24"/>
        </w:rPr>
        <w:t>P – λ P</w:t>
      </w:r>
      <w:r>
        <w:rPr>
          <w:rFonts w:asciiTheme="majorBidi" w:hAnsiTheme="majorBidi" w:cstheme="majorBidi"/>
          <w:sz w:val="24"/>
          <w:szCs w:val="24"/>
          <w:vertAlign w:val="superscript"/>
        </w:rPr>
        <w:t>2</w:t>
      </w:r>
      <w:r>
        <w:rPr>
          <w:rFonts w:asciiTheme="majorBidi" w:hAnsiTheme="majorBidi" w:cstheme="majorBidi"/>
          <w:sz w:val="24"/>
          <w:szCs w:val="24"/>
        </w:rPr>
        <w:t xml:space="preserve">  avec ;  λ = 1/ (0,8+0,14 T).</w:t>
      </w:r>
    </w:p>
    <w:p>
      <w:pPr>
        <w:spacing w:after="0" w:line="360" w:lineRule="auto"/>
        <w:rPr>
          <w:rFonts w:asciiTheme="majorBidi" w:hAnsiTheme="majorBidi" w:cstheme="majorBidi"/>
          <w:sz w:val="24"/>
          <w:szCs w:val="24"/>
        </w:rPr>
      </w:pPr>
      <w:r>
        <w:rPr>
          <w:rFonts w:asciiTheme="majorBidi" w:hAnsiTheme="majorBidi" w:cstheme="majorBidi"/>
          <w:sz w:val="24"/>
          <w:szCs w:val="24"/>
        </w:rPr>
        <w:t>La formule n’est applicable que pour « P » compris entre :</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1/8 λ &lt; P &lt;1/2 λ</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Alor :</w:t>
      </w:r>
    </w:p>
    <w:p>
      <w:pPr>
        <w:spacing w:after="0" w:line="360" w:lineRule="auto"/>
        <w:rPr>
          <w:rFonts w:asciiTheme="majorBidi" w:hAnsiTheme="majorBidi" w:cstheme="majorBidi"/>
          <w:sz w:val="24"/>
          <w:szCs w:val="24"/>
        </w:rPr>
      </w:pPr>
      <w:r>
        <w:rPr>
          <w:rFonts w:asciiTheme="majorBidi" w:hAnsiTheme="majorBidi" w:cstheme="majorBidi"/>
          <w:sz w:val="24"/>
          <w:szCs w:val="24"/>
        </w:rPr>
        <w:t>λ = 1/ [0,8 + (0,14*17,77)]    ,  λ = 0,304 </w:t>
      </w:r>
    </w:p>
    <w:p>
      <w:pPr>
        <w:spacing w:after="0" w:line="360" w:lineRule="auto"/>
        <w:rPr>
          <w:rFonts w:asciiTheme="majorBidi" w:hAnsiTheme="majorBidi" w:cstheme="majorBidi"/>
          <w:sz w:val="24"/>
          <w:szCs w:val="24"/>
        </w:rPr>
      </w:pPr>
      <w:r>
        <w:rPr>
          <w:rFonts w:asciiTheme="majorBidi" w:hAnsiTheme="majorBidi" w:cstheme="majorBidi"/>
          <w:sz w:val="24"/>
          <w:szCs w:val="24"/>
        </w:rPr>
        <w:t>1/8 λ&lt;P&lt;1/2 λ</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(P en mètre)</w:t>
      </w:r>
    </w:p>
    <w:p>
      <w:pPr>
        <w:spacing w:after="0" w:line="360" w:lineRule="auto"/>
        <w:rPr>
          <w:rFonts w:asciiTheme="majorBidi" w:hAnsiTheme="majorBidi" w:cstheme="majorBidi"/>
          <w:sz w:val="24"/>
          <w:szCs w:val="24"/>
        </w:rPr>
      </w:pPr>
      <w:r>
        <w:rPr>
          <w:rFonts w:asciiTheme="majorBidi" w:hAnsiTheme="majorBidi" w:cstheme="majorBidi"/>
          <w:sz w:val="24"/>
          <w:szCs w:val="24"/>
        </w:rPr>
        <w:t>0,411&lt; 0,394 &lt;1,64 (Méthode de Coutagne est Applicable).</w:t>
      </w:r>
    </w:p>
    <w:p>
      <w:pPr>
        <w:spacing w:after="0" w:line="360" w:lineRule="auto"/>
        <w:rPr>
          <w:rFonts w:asciiTheme="majorBidi" w:hAnsiTheme="majorBidi" w:cstheme="majorBidi"/>
          <w:sz w:val="24"/>
          <w:szCs w:val="24"/>
        </w:rPr>
      </w:pPr>
      <w:r>
        <w:rPr>
          <w:rFonts w:asciiTheme="majorBidi" w:hAnsiTheme="majorBidi" w:cstheme="majorBidi"/>
          <w:sz w:val="24"/>
          <w:szCs w:val="24"/>
        </w:rPr>
        <w:t>ETR = 0,39408 – [0,304(0,39408)</w:t>
      </w:r>
      <w:r>
        <w:rPr>
          <w:rFonts w:asciiTheme="majorBidi" w:hAnsiTheme="majorBidi" w:cstheme="majorBidi"/>
          <w:sz w:val="24"/>
          <w:szCs w:val="24"/>
          <w:vertAlign w:val="superscript"/>
        </w:rPr>
        <w:t>2</w:t>
      </w:r>
      <w:r>
        <w:rPr>
          <w:rFonts w:asciiTheme="majorBidi" w:hAnsiTheme="majorBidi" w:cstheme="majorBidi"/>
          <w:sz w:val="24"/>
          <w:szCs w:val="24"/>
        </w:rPr>
        <w:t>].</w:t>
      </w:r>
    </w:p>
    <w:p>
      <w:pPr>
        <w:spacing w:after="0" w:line="360" w:lineRule="auto"/>
        <w:rPr>
          <w:rFonts w:asciiTheme="majorBidi" w:hAnsiTheme="majorBidi" w:cstheme="majorBidi"/>
          <w:sz w:val="24"/>
          <w:szCs w:val="24"/>
        </w:rPr>
      </w:pPr>
      <w:r>
        <w:rPr>
          <w:rFonts w:asciiTheme="majorBidi" w:hAnsiTheme="majorBidi" w:cstheme="majorBidi"/>
          <w:sz w:val="24"/>
          <w:szCs w:val="24"/>
        </w:rPr>
        <w:t>ETR coutagne = 346,86 mm</w:t>
      </w:r>
    </w:p>
    <w:p>
      <w:pPr>
        <w:pStyle w:val="10"/>
        <w:numPr>
          <w:ilvl w:val="0"/>
          <w:numId w:val="19"/>
        </w:numPr>
        <w:spacing w:after="0" w:line="360" w:lineRule="auto"/>
        <w:rPr>
          <w:rFonts w:asciiTheme="majorBidi" w:hAnsiTheme="majorBidi" w:cstheme="majorBidi"/>
          <w:b/>
          <w:bCs/>
          <w:sz w:val="24"/>
          <w:szCs w:val="24"/>
        </w:rPr>
      </w:pPr>
      <w:r>
        <w:rPr>
          <w:rFonts w:asciiTheme="majorBidi" w:hAnsiTheme="majorBidi" w:cstheme="majorBidi"/>
          <w:b/>
          <w:bCs/>
          <w:sz w:val="24"/>
          <w:szCs w:val="24"/>
        </w:rPr>
        <w:t>Méthode de Verdeil</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Dans cette méthode, on représente la valeur des précipitations sur les ordonnées logarithmiques du papier fonctionnel de Verdeil, ensuite on relie ce point avec la droite, la valeur de l’ETR est directement lue en projetant ce 2éme points sur les abscisses logarithmiques.</w:t>
      </w:r>
    </w:p>
    <w:p>
      <w:pPr>
        <w:spacing w:line="360" w:lineRule="auto"/>
        <w:ind w:right="141"/>
        <w:jc w:val="center"/>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5591175" cy="5591175"/>
            <wp:effectExtent l="0" t="0" r="9525"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a:picLocks noChangeAspect="1" noChangeArrowheads="1"/>
                    </pic:cNvPicPr>
                  </pic:nvPicPr>
                  <pic:blipFill>
                    <a:blip r:embed="rId28">
                      <a:extLst>
                        <a:ext uri="{28A0092B-C50C-407E-A947-70E740481C1C}">
                          <a14:useLocalDpi xmlns:a14="http://schemas.microsoft.com/office/drawing/2010/main" val="0"/>
                        </a:ext>
                      </a:extLst>
                    </a:blip>
                    <a:srcRect l="5882" t="5929"/>
                    <a:stretch>
                      <a:fillRect/>
                    </a:stretch>
                  </pic:blipFill>
                  <pic:spPr>
                    <a:xfrm>
                      <a:off x="0" y="0"/>
                      <a:ext cx="5591175" cy="5591175"/>
                    </a:xfrm>
                    <a:prstGeom prst="rect">
                      <a:avLst/>
                    </a:prstGeom>
                    <a:noFill/>
                  </pic:spPr>
                </pic:pic>
              </a:graphicData>
            </a:graphic>
          </wp:inline>
        </w:drawing>
      </w:r>
      <w:r>
        <w:rPr>
          <w:rFonts w:asciiTheme="majorBidi" w:hAnsiTheme="majorBidi" w:cstheme="majorBidi"/>
          <w:sz w:val="24"/>
          <w:szCs w:val="24"/>
        </w:rPr>
        <w:t>Fig n°21 : Abaque de Verdeil pour calculer l’ETR.</w:t>
      </w:r>
    </w:p>
    <w:p>
      <w:pPr>
        <w:spacing w:line="360" w:lineRule="auto"/>
        <w:jc w:val="both"/>
        <w:rPr>
          <w:rFonts w:asciiTheme="majorBidi" w:hAnsiTheme="majorBidi" w:cstheme="majorBidi"/>
          <w:sz w:val="24"/>
          <w:szCs w:val="24"/>
        </w:rPr>
      </w:pPr>
      <w:r>
        <w:rPr>
          <w:rFonts w:asciiTheme="majorBidi" w:hAnsiTheme="majorBidi" w:cstheme="majorBidi"/>
          <w:sz w:val="24"/>
          <w:szCs w:val="24"/>
        </w:rPr>
        <w:t>Pour notre cas et à partir de l’abaque, Verdeil ETR =375 mm</w:t>
      </w:r>
    </w:p>
    <w:p>
      <w:pPr>
        <w:spacing w:line="360" w:lineRule="auto"/>
        <w:jc w:val="both"/>
        <w:rPr>
          <w:rFonts w:asciiTheme="majorBidi" w:hAnsiTheme="majorBidi" w:cstheme="majorBidi"/>
          <w:sz w:val="24"/>
          <w:szCs w:val="24"/>
        </w:rPr>
      </w:pPr>
    </w:p>
    <w:p>
      <w:pPr>
        <w:pStyle w:val="10"/>
        <w:numPr>
          <w:ilvl w:val="0"/>
          <w:numId w:val="19"/>
        </w:numPr>
        <w:spacing w:line="360" w:lineRule="auto"/>
        <w:jc w:val="both"/>
        <w:rPr>
          <w:rFonts w:asciiTheme="majorBidi" w:hAnsiTheme="majorBidi" w:cstheme="majorBidi"/>
          <w:b/>
          <w:bCs/>
          <w:sz w:val="24"/>
          <w:szCs w:val="24"/>
        </w:rPr>
      </w:pPr>
      <w:r>
        <w:rPr>
          <w:rFonts w:asciiTheme="majorBidi" w:hAnsiTheme="majorBidi" w:cstheme="majorBidi"/>
          <w:b/>
          <w:bCs/>
          <w:sz w:val="24"/>
          <w:szCs w:val="24"/>
        </w:rPr>
        <w:t>Méthode de Wundt :</w:t>
      </w:r>
    </w:p>
    <w:p>
      <w:pPr>
        <w:spacing w:line="360" w:lineRule="auto"/>
        <w:ind w:firstLine="284"/>
        <w:jc w:val="both"/>
        <w:rPr>
          <w:rFonts w:asciiTheme="majorBidi" w:hAnsiTheme="majorBidi" w:cstheme="majorBidi"/>
          <w:sz w:val="24"/>
          <w:szCs w:val="24"/>
        </w:rPr>
      </w:pPr>
      <w:r>
        <w:rPr>
          <w:rFonts w:asciiTheme="majorBidi" w:hAnsiTheme="majorBidi" w:cstheme="majorBidi"/>
          <w:sz w:val="24"/>
          <w:szCs w:val="24"/>
        </w:rPr>
        <w:t>On représente nos valeurs sur deux échelle arithmétiques, en abscisses, c’est la température moyenne annuelle, en ordonnées, ce sont les précipitations annuelles, l’intersection des deux points nous donne un troisième point qui est à son tour projeté sur l’abscisse supérieure.</w:t>
      </w:r>
    </w:p>
    <w:p>
      <w:pPr>
        <w:spacing w:line="360" w:lineRule="auto"/>
        <w:jc w:val="both"/>
        <w:rPr>
          <w:rFonts w:asciiTheme="majorBidi" w:hAnsiTheme="majorBidi" w:cstheme="majorBidi"/>
          <w:sz w:val="24"/>
          <w:szCs w:val="24"/>
        </w:rPr>
      </w:pPr>
      <w:r>
        <w:rPr>
          <w:rFonts w:eastAsia="Times New Roman" w:asciiTheme="majorBidi" w:hAnsiTheme="majorBidi" w:cstheme="majorBidi"/>
          <w:sz w:val="24"/>
          <w:szCs w:val="24"/>
          <w:lang w:eastAsia="fr-FR"/>
        </w:rPr>
        <w:drawing>
          <wp:inline distT="0" distB="0" distL="0" distR="0">
            <wp:extent cx="5871210" cy="6200775"/>
            <wp:effectExtent l="53975" t="53975" r="120015" b="107950"/>
            <wp:docPr id="28" name="Image 28" descr="C:\Users\belaribi med\Desktop\image\l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C:\Users\belaribi med\Desktop\image\lolo.PNG"/>
                    <pic:cNvPicPr>
                      <a:picLocks noChangeAspect="1" noChangeArrowheads="1"/>
                    </pic:cNvPicPr>
                  </pic:nvPicPr>
                  <pic:blipFill>
                    <a:blip r:embed="rId29"/>
                    <a:srcRect/>
                    <a:stretch>
                      <a:fillRect/>
                    </a:stretch>
                  </pic:blipFill>
                  <pic:spPr>
                    <a:xfrm>
                      <a:off x="0" y="0"/>
                      <a:ext cx="5876925" cy="6206242"/>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line="360" w:lineRule="auto"/>
        <w:jc w:val="center"/>
        <w:rPr>
          <w:rFonts w:asciiTheme="majorBidi" w:hAnsiTheme="majorBidi" w:cstheme="majorBidi"/>
          <w:sz w:val="24"/>
          <w:szCs w:val="24"/>
        </w:rPr>
      </w:pPr>
      <w:r>
        <w:rPr>
          <w:rFonts w:asciiTheme="majorBidi" w:hAnsiTheme="majorBidi" w:cstheme="majorBidi"/>
          <w:sz w:val="24"/>
          <w:szCs w:val="24"/>
        </w:rPr>
        <w:t>Fig n°22 : Abaque de Wundt pour calculer l’ETR. (Modifié par Coutagne).</w:t>
      </w:r>
    </w:p>
    <w:p>
      <w:pPr>
        <w:spacing w:line="360" w:lineRule="auto"/>
        <w:jc w:val="both"/>
        <w:rPr>
          <w:rFonts w:asciiTheme="majorBidi" w:hAnsiTheme="majorBidi" w:cstheme="majorBidi"/>
          <w:sz w:val="24"/>
          <w:szCs w:val="24"/>
        </w:rPr>
      </w:pPr>
      <w:r>
        <w:rPr>
          <w:rFonts w:asciiTheme="majorBidi" w:hAnsiTheme="majorBidi" w:cstheme="majorBidi"/>
          <w:sz w:val="24"/>
          <w:szCs w:val="24"/>
        </w:rPr>
        <w:t>Pour notre étude et à partir de l’abaque ETR Wundt = 370 mm</w:t>
      </w:r>
    </w:p>
    <w:p>
      <w:pPr>
        <w:spacing w:line="360" w:lineRule="auto"/>
        <w:ind w:firstLine="708"/>
        <w:jc w:val="both"/>
        <w:rPr>
          <w:rFonts w:asciiTheme="majorBidi" w:hAnsiTheme="majorBidi" w:cstheme="majorBidi"/>
          <w:b/>
          <w:bCs/>
          <w:sz w:val="24"/>
          <w:szCs w:val="24"/>
        </w:rPr>
      </w:pPr>
    </w:p>
    <w:p>
      <w:pPr>
        <w:spacing w:line="360" w:lineRule="auto"/>
        <w:ind w:firstLine="708"/>
        <w:jc w:val="center"/>
        <w:rPr>
          <w:rFonts w:asciiTheme="majorBidi" w:hAnsiTheme="majorBidi" w:cstheme="majorBidi"/>
          <w:sz w:val="24"/>
          <w:szCs w:val="24"/>
        </w:rPr>
      </w:pPr>
      <w:r>
        <w:rPr>
          <w:rFonts w:asciiTheme="majorBidi" w:hAnsiTheme="majorBidi" w:cstheme="majorBidi"/>
          <w:sz w:val="24"/>
          <w:szCs w:val="24"/>
        </w:rPr>
        <w:t>Tableaux n°13 : les ETR par différente méthodes.</w:t>
      </w:r>
    </w:p>
    <w:tbl>
      <w:tblPr>
        <w:tblStyle w:val="11"/>
        <w:tblpPr w:leftFromText="141" w:rightFromText="141" w:vertAnchor="text" w:horzAnchor="margin" w:tblpY="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5"/>
        <w:gridCol w:w="2804"/>
        <w:gridCol w:w="33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2864"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Les Méthodes</w:t>
            </w:r>
          </w:p>
        </w:tc>
        <w:tc>
          <w:tcPr>
            <w:tcW w:w="2818"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ETR (mm)</w:t>
            </w:r>
          </w:p>
        </w:tc>
        <w:tc>
          <w:tcPr>
            <w:tcW w:w="3357"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L’interprétation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2864"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Méthode de Thornthwaite</w:t>
            </w:r>
          </w:p>
        </w:tc>
        <w:tc>
          <w:tcPr>
            <w:tcW w:w="2818"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351.34</w:t>
            </w:r>
          </w:p>
        </w:tc>
        <w:tc>
          <w:tcPr>
            <w:tcW w:w="3357"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Applicable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trPr>
        <w:tc>
          <w:tcPr>
            <w:tcW w:w="2864"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Méthode de Turc</w:t>
            </w:r>
          </w:p>
        </w:tc>
        <w:tc>
          <w:tcPr>
            <w:tcW w:w="2818"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385.03</w:t>
            </w:r>
          </w:p>
        </w:tc>
        <w:tc>
          <w:tcPr>
            <w:tcW w:w="3357"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Applicable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2864"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Méthode de Coutagne</w:t>
            </w:r>
          </w:p>
        </w:tc>
        <w:tc>
          <w:tcPr>
            <w:tcW w:w="2818" w:type="dxa"/>
            <w:tcBorders>
              <w:top w:val="nil"/>
            </w:tcBorders>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346,86</w:t>
            </w:r>
          </w:p>
        </w:tc>
        <w:tc>
          <w:tcPr>
            <w:tcW w:w="3357" w:type="dxa"/>
            <w:tcBorders>
              <w:top w:val="nil"/>
            </w:tcBorders>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Applicable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2864"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Méthode de Verdeil</w:t>
            </w:r>
          </w:p>
        </w:tc>
        <w:tc>
          <w:tcPr>
            <w:tcW w:w="2818"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375</w:t>
            </w:r>
          </w:p>
        </w:tc>
        <w:tc>
          <w:tcPr>
            <w:tcW w:w="3357"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Applicable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2864"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Méthode de Wundt</w:t>
            </w:r>
          </w:p>
        </w:tc>
        <w:tc>
          <w:tcPr>
            <w:tcW w:w="2818"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370</w:t>
            </w:r>
          </w:p>
        </w:tc>
        <w:tc>
          <w:tcPr>
            <w:tcW w:w="3357"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Applicable</w:t>
            </w:r>
          </w:p>
        </w:tc>
      </w:tr>
    </w:tbl>
    <w:p>
      <w:pPr>
        <w:spacing w:after="0" w:line="360" w:lineRule="auto"/>
        <w:jc w:val="both"/>
        <w:rPr>
          <w:rFonts w:asciiTheme="majorBidi" w:hAnsiTheme="majorBidi" w:cstheme="majorBidi"/>
          <w:b/>
          <w:bCs/>
          <w:sz w:val="24"/>
          <w:szCs w:val="24"/>
        </w:rPr>
      </w:pPr>
    </w:p>
    <w:p>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D’après les méthodes utilisé nous avons remarquons que la valeur l’évapotranspiration réelle et comprise entre 346 mm et 385mm.   </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8.2.  Déficit d’écoulement (Da)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Appelé aussi déficit agricole, Il représente la différence entre l'ETP et l'ETR, il s'agit de la quantité d'eau qui aurait pu être utilisée par les plantes, par un apport d'eau d'irrigation.</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8.3. L’excédent (Ex)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Il s'agit d'un volume d'eau en excès qui ne peut être emmagasiné dans la réserve utile et qui va par conséquent alimenter soit l'écoulement soit l'infiltration.</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8.4. Les écoulements (Ec)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Selon Thornthwaite, la moitié de l'excédent s'écoulent le mois même, le reste s'infiltrant et alimentant le réseau aérien par l'intermédiaire des sources durant les mois.</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8.5. La réserve utile :</w:t>
      </w:r>
    </w:p>
    <w:p>
      <w:pPr>
        <w:spacing w:after="0" w:line="360" w:lineRule="auto"/>
        <w:ind w:firstLine="284"/>
        <w:jc w:val="both"/>
        <w:rPr>
          <w:rFonts w:asciiTheme="majorBidi" w:hAnsiTheme="majorBidi" w:cstheme="majorBidi"/>
          <w:color w:val="FF0000"/>
          <w:sz w:val="24"/>
          <w:szCs w:val="24"/>
        </w:rPr>
      </w:pPr>
      <w:r>
        <w:rPr>
          <w:rFonts w:asciiTheme="majorBidi" w:hAnsiTheme="majorBidi" w:cstheme="majorBidi"/>
          <w:sz w:val="24"/>
          <w:szCs w:val="24"/>
        </w:rPr>
        <w:t>Pour un mois donné, la réserve utile est la différence entre les précipitations et les Etp, si les précipitations sont plus importantes, si non, nous n’avons pas une réserve qui alimente la nappe. Pour Thornthwaite en prendre RU= 100 mm.</w:t>
      </w:r>
    </w:p>
    <w:p>
      <w:pPr>
        <w:spacing w:line="360" w:lineRule="auto"/>
        <w:ind w:firstLine="708"/>
        <w:jc w:val="both"/>
        <w:rPr>
          <w:rFonts w:asciiTheme="majorBidi" w:hAnsiTheme="majorBidi" w:cstheme="majorBidi"/>
          <w:sz w:val="24"/>
          <w:szCs w:val="24"/>
        </w:rPr>
      </w:pPr>
    </w:p>
    <w:p>
      <w:pPr>
        <w:spacing w:line="360" w:lineRule="auto"/>
        <w:ind w:firstLine="708"/>
        <w:jc w:val="both"/>
        <w:rPr>
          <w:rFonts w:asciiTheme="majorBidi" w:hAnsiTheme="majorBidi" w:cstheme="majorBidi"/>
          <w:sz w:val="24"/>
          <w:szCs w:val="24"/>
        </w:rPr>
      </w:pPr>
    </w:p>
    <w:p>
      <w:pPr>
        <w:tabs>
          <w:tab w:val="left" w:pos="1641"/>
        </w:tabs>
        <w:spacing w:line="360" w:lineRule="auto"/>
        <w:jc w:val="both"/>
        <w:rPr>
          <w:rFonts w:asciiTheme="majorBidi" w:hAnsiTheme="majorBidi" w:cstheme="majorBidi"/>
          <w:b/>
          <w:bCs/>
          <w:sz w:val="24"/>
          <w:szCs w:val="24"/>
        </w:rPr>
      </w:pPr>
    </w:p>
    <w:p>
      <w:pPr>
        <w:tabs>
          <w:tab w:val="left" w:pos="1641"/>
        </w:tabs>
        <w:spacing w:line="360" w:lineRule="auto"/>
        <w:jc w:val="both"/>
        <w:rPr>
          <w:rFonts w:asciiTheme="majorBidi" w:hAnsiTheme="majorBidi" w:cstheme="majorBidi"/>
          <w:b/>
          <w:bCs/>
          <w:sz w:val="24"/>
          <w:szCs w:val="24"/>
        </w:rPr>
      </w:pPr>
    </w:p>
    <w:p>
      <w:pPr>
        <w:tabs>
          <w:tab w:val="left" w:pos="1641"/>
        </w:tabs>
        <w:spacing w:line="360" w:lineRule="auto"/>
        <w:jc w:val="both"/>
        <w:rPr>
          <w:rFonts w:asciiTheme="majorBidi" w:hAnsiTheme="majorBidi" w:cstheme="majorBidi"/>
          <w:b/>
          <w:bCs/>
          <w:sz w:val="24"/>
          <w:szCs w:val="24"/>
        </w:rPr>
      </w:pPr>
    </w:p>
    <w:p>
      <w:pPr>
        <w:tabs>
          <w:tab w:val="left" w:pos="1641"/>
        </w:tabs>
        <w:spacing w:line="360" w:lineRule="auto"/>
        <w:jc w:val="both"/>
        <w:rPr>
          <w:rFonts w:asciiTheme="majorBidi" w:hAnsiTheme="majorBidi" w:cstheme="majorBidi"/>
          <w:b/>
          <w:bCs/>
          <w:sz w:val="24"/>
          <w:szCs w:val="24"/>
        </w:rPr>
      </w:pPr>
    </w:p>
    <w:tbl>
      <w:tblPr>
        <w:tblStyle w:val="11"/>
        <w:tblpPr w:leftFromText="141" w:rightFromText="141" w:vertAnchor="text" w:horzAnchor="margin" w:tblpX="-68" w:tblpY="746"/>
        <w:tblW w:w="103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709"/>
        <w:gridCol w:w="708"/>
        <w:gridCol w:w="709"/>
        <w:gridCol w:w="709"/>
        <w:gridCol w:w="709"/>
        <w:gridCol w:w="708"/>
        <w:gridCol w:w="709"/>
        <w:gridCol w:w="709"/>
        <w:gridCol w:w="709"/>
        <w:gridCol w:w="708"/>
        <w:gridCol w:w="709"/>
        <w:gridCol w:w="709"/>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959"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MOIS</w:t>
            </w:r>
          </w:p>
        </w:tc>
        <w:tc>
          <w:tcPr>
            <w:tcW w:w="709"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N</w:t>
            </w:r>
          </w:p>
        </w:tc>
        <w:tc>
          <w:tcPr>
            <w:tcW w:w="708"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D</w:t>
            </w:r>
          </w:p>
        </w:tc>
        <w:tc>
          <w:tcPr>
            <w:tcW w:w="709"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J</w:t>
            </w:r>
          </w:p>
        </w:tc>
        <w:tc>
          <w:tcPr>
            <w:tcW w:w="709"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F</w:t>
            </w:r>
          </w:p>
        </w:tc>
        <w:tc>
          <w:tcPr>
            <w:tcW w:w="709"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M</w:t>
            </w:r>
          </w:p>
        </w:tc>
        <w:tc>
          <w:tcPr>
            <w:tcW w:w="708"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A</w:t>
            </w:r>
          </w:p>
        </w:tc>
        <w:tc>
          <w:tcPr>
            <w:tcW w:w="709" w:type="dxa"/>
            <w:shd w:val="clear" w:color="auto" w:fill="00B0F0"/>
            <w:vAlign w:val="center"/>
          </w:tcPr>
          <w:p>
            <w:pPr>
              <w:spacing w:after="0" w:line="360" w:lineRule="auto"/>
              <w:ind w:right="141"/>
              <w:jc w:val="center"/>
              <w:rPr>
                <w:rFonts w:asciiTheme="majorBidi" w:hAnsiTheme="majorBidi" w:cstheme="majorBidi"/>
              </w:rPr>
            </w:pPr>
            <w:r>
              <w:rPr>
                <w:rFonts w:asciiTheme="majorBidi" w:hAnsiTheme="majorBidi" w:cstheme="majorBidi"/>
              </w:rPr>
              <w:t>M</w:t>
            </w:r>
          </w:p>
        </w:tc>
        <w:tc>
          <w:tcPr>
            <w:tcW w:w="709" w:type="dxa"/>
            <w:shd w:val="clear" w:color="auto" w:fill="00B0F0"/>
            <w:vAlign w:val="center"/>
          </w:tcPr>
          <w:p>
            <w:pPr>
              <w:spacing w:after="0" w:line="360" w:lineRule="auto"/>
              <w:ind w:left="-5778" w:right="141" w:firstLine="5778"/>
              <w:jc w:val="center"/>
              <w:rPr>
                <w:rFonts w:asciiTheme="majorBidi" w:hAnsiTheme="majorBidi" w:cstheme="majorBidi"/>
              </w:rPr>
            </w:pPr>
            <w:r>
              <w:rPr>
                <w:rFonts w:asciiTheme="majorBidi" w:hAnsiTheme="majorBidi" w:cstheme="majorBidi"/>
              </w:rPr>
              <w:t>J</w:t>
            </w:r>
          </w:p>
        </w:tc>
        <w:tc>
          <w:tcPr>
            <w:tcW w:w="709" w:type="dxa"/>
            <w:shd w:val="clear" w:color="auto" w:fill="00B0F0"/>
            <w:vAlign w:val="center"/>
          </w:tcPr>
          <w:p>
            <w:pPr>
              <w:spacing w:after="0" w:line="360" w:lineRule="auto"/>
              <w:ind w:left="-5778" w:right="141" w:firstLine="5778"/>
              <w:jc w:val="center"/>
              <w:rPr>
                <w:rFonts w:asciiTheme="majorBidi" w:hAnsiTheme="majorBidi" w:cstheme="majorBidi"/>
              </w:rPr>
            </w:pPr>
            <w:r>
              <w:rPr>
                <w:rFonts w:asciiTheme="majorBidi" w:hAnsiTheme="majorBidi" w:cstheme="majorBidi"/>
              </w:rPr>
              <w:t>J</w:t>
            </w:r>
          </w:p>
        </w:tc>
        <w:tc>
          <w:tcPr>
            <w:tcW w:w="708" w:type="dxa"/>
            <w:shd w:val="clear" w:color="auto" w:fill="00B0F0"/>
            <w:vAlign w:val="center"/>
          </w:tcPr>
          <w:p>
            <w:pPr>
              <w:spacing w:after="0" w:line="360" w:lineRule="auto"/>
              <w:ind w:left="-5778" w:right="141" w:firstLine="5778"/>
              <w:jc w:val="center"/>
              <w:rPr>
                <w:rFonts w:asciiTheme="majorBidi" w:hAnsiTheme="majorBidi" w:cstheme="majorBidi"/>
              </w:rPr>
            </w:pPr>
            <w:r>
              <w:rPr>
                <w:rFonts w:asciiTheme="majorBidi" w:hAnsiTheme="majorBidi" w:cstheme="majorBidi"/>
              </w:rPr>
              <w:t>A</w:t>
            </w:r>
          </w:p>
        </w:tc>
        <w:tc>
          <w:tcPr>
            <w:tcW w:w="709" w:type="dxa"/>
            <w:shd w:val="clear" w:color="auto" w:fill="00B0F0"/>
            <w:vAlign w:val="center"/>
          </w:tcPr>
          <w:p>
            <w:pPr>
              <w:spacing w:after="0" w:line="360" w:lineRule="auto"/>
              <w:ind w:left="-5778" w:right="141" w:firstLine="5778"/>
              <w:jc w:val="center"/>
              <w:rPr>
                <w:rFonts w:asciiTheme="majorBidi" w:hAnsiTheme="majorBidi" w:cstheme="majorBidi"/>
              </w:rPr>
            </w:pPr>
            <w:r>
              <w:rPr>
                <w:rFonts w:asciiTheme="majorBidi" w:hAnsiTheme="majorBidi" w:cstheme="majorBidi"/>
              </w:rPr>
              <w:t>S</w:t>
            </w:r>
          </w:p>
        </w:tc>
        <w:tc>
          <w:tcPr>
            <w:tcW w:w="709" w:type="dxa"/>
            <w:shd w:val="clear" w:color="auto" w:fill="00B0F0"/>
            <w:vAlign w:val="center"/>
          </w:tcPr>
          <w:p>
            <w:pPr>
              <w:spacing w:after="0" w:line="360" w:lineRule="auto"/>
              <w:ind w:left="-5778" w:right="141" w:firstLine="5778"/>
              <w:jc w:val="center"/>
              <w:rPr>
                <w:rFonts w:asciiTheme="majorBidi" w:hAnsiTheme="majorBidi" w:cstheme="majorBidi"/>
              </w:rPr>
            </w:pPr>
            <w:r>
              <w:rPr>
                <w:rFonts w:asciiTheme="majorBidi" w:hAnsiTheme="majorBidi" w:cstheme="majorBidi"/>
              </w:rPr>
              <w:t>O</w:t>
            </w:r>
          </w:p>
        </w:tc>
        <w:tc>
          <w:tcPr>
            <w:tcW w:w="850" w:type="dxa"/>
            <w:shd w:val="clear" w:color="auto" w:fill="00B0F0"/>
            <w:vAlign w:val="center"/>
          </w:tcPr>
          <w:p>
            <w:pPr>
              <w:spacing w:after="0" w:line="360" w:lineRule="auto"/>
              <w:ind w:right="141"/>
              <w:rPr>
                <w:rFonts w:asciiTheme="majorBidi" w:hAnsiTheme="majorBidi" w:cstheme="majorBidi"/>
                <w:sz w:val="20"/>
                <w:szCs w:val="20"/>
              </w:rPr>
            </w:pPr>
            <w:r>
              <w:rPr>
                <w:rFonts w:asciiTheme="majorBidi" w:hAnsiTheme="majorBidi" w:cstheme="majorBidi"/>
                <w:sz w:val="20"/>
                <w:szCs w:val="20"/>
              </w:rPr>
              <w:t>Année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6" w:hRule="atLeast"/>
        </w:trPr>
        <w:tc>
          <w:tcPr>
            <w:tcW w:w="959" w:type="dxa"/>
            <w:shd w:val="clear" w:color="auto" w:fill="00B0F0"/>
            <w:vAlign w:val="center"/>
          </w:tcPr>
          <w:p>
            <w:pPr>
              <w:spacing w:after="0" w:line="360" w:lineRule="auto"/>
              <w:ind w:right="141"/>
              <w:rPr>
                <w:rFonts w:asciiTheme="majorBidi" w:hAnsiTheme="majorBidi" w:cstheme="majorBidi"/>
              </w:rPr>
            </w:pPr>
            <w:r>
              <w:rPr>
                <w:rFonts w:asciiTheme="majorBidi" w:hAnsiTheme="majorBidi" w:cstheme="majorBidi"/>
              </w:rPr>
              <w:t>P (mm)</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71.43</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56,73</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46,65</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48,91</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39,09</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37,18</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25,56</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4,76</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1,94</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3,60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25,57</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32,72</w:t>
            </w:r>
          </w:p>
        </w:tc>
        <w:tc>
          <w:tcPr>
            <w:tcW w:w="850"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394.14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trPr>
        <w:tc>
          <w:tcPr>
            <w:tcW w:w="959" w:type="dxa"/>
            <w:shd w:val="clear" w:color="auto" w:fill="00B0F0"/>
            <w:vAlign w:val="center"/>
          </w:tcPr>
          <w:p>
            <w:pPr>
              <w:spacing w:after="0" w:line="360" w:lineRule="auto"/>
              <w:ind w:right="141"/>
              <w:rPr>
                <w:rFonts w:asciiTheme="majorBidi" w:hAnsiTheme="majorBidi" w:cstheme="majorBidi"/>
              </w:rPr>
            </w:pPr>
            <w:r>
              <w:rPr>
                <w:rFonts w:asciiTheme="majorBidi" w:hAnsiTheme="majorBidi" w:cstheme="majorBidi"/>
              </w:rPr>
              <w:t>ETP (mm)</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37.47</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26.76</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22.02</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24.53</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38.53</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50.93</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80.98</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114.91</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146.69</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146.83</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103.65</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72.15</w:t>
            </w:r>
          </w:p>
        </w:tc>
        <w:tc>
          <w:tcPr>
            <w:tcW w:w="850"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865.45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1" w:hRule="atLeast"/>
        </w:trPr>
        <w:tc>
          <w:tcPr>
            <w:tcW w:w="959" w:type="dxa"/>
            <w:shd w:val="clear" w:color="auto" w:fill="00B0F0"/>
            <w:vAlign w:val="center"/>
          </w:tcPr>
          <w:p>
            <w:pPr>
              <w:spacing w:after="0" w:line="360" w:lineRule="auto"/>
              <w:ind w:right="141"/>
              <w:rPr>
                <w:rFonts w:asciiTheme="majorBidi" w:hAnsiTheme="majorBidi" w:cstheme="majorBidi"/>
              </w:rPr>
            </w:pPr>
            <w:r>
              <w:rPr>
                <w:rFonts w:asciiTheme="majorBidi" w:hAnsiTheme="majorBidi" w:cstheme="majorBidi"/>
              </w:rPr>
              <w:t xml:space="preserve">Var </w:t>
            </w:r>
          </w:p>
        </w:tc>
        <w:tc>
          <w:tcPr>
            <w:tcW w:w="70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708"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70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70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70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708"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70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70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70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708"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70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709"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c>
          <w:tcPr>
            <w:tcW w:w="850" w:type="dxa"/>
            <w:shd w:val="clear" w:color="auto" w:fill="auto"/>
            <w:vAlign w:val="center"/>
          </w:tcPr>
          <w:p>
            <w:pPr>
              <w:spacing w:after="0" w:line="360" w:lineRule="auto"/>
              <w:ind w:right="141"/>
              <w:jc w:val="center"/>
              <w:rPr>
                <w:rFonts w:asciiTheme="majorBidi" w:hAnsiTheme="majorBidi" w:cstheme="majorBidi"/>
              </w:rPr>
            </w:pPr>
            <w:r>
              <w:rPr>
                <w:rFonts w:asciiTheme="majorBidi" w:hAnsiTheme="majorBidi" w:cstheme="majorBidi"/>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959" w:type="dxa"/>
            <w:shd w:val="clear" w:color="auto" w:fill="00B0F0"/>
            <w:vAlign w:val="center"/>
          </w:tcPr>
          <w:p>
            <w:pPr>
              <w:spacing w:after="0" w:line="360" w:lineRule="auto"/>
              <w:ind w:right="141"/>
              <w:rPr>
                <w:rFonts w:asciiTheme="majorBidi" w:hAnsiTheme="majorBidi" w:cstheme="majorBidi"/>
              </w:rPr>
            </w:pPr>
            <w:r>
              <w:rPr>
                <w:rFonts w:asciiTheme="majorBidi" w:hAnsiTheme="majorBidi" w:cstheme="majorBidi"/>
              </w:rPr>
              <w:t>Ru (mm)</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33.93</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63.93</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88.56</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100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99.61</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86.25</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30.08</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850"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959" w:type="dxa"/>
            <w:shd w:val="clear" w:color="auto" w:fill="00B0F0"/>
            <w:vAlign w:val="center"/>
          </w:tcPr>
          <w:p>
            <w:pPr>
              <w:spacing w:after="0" w:line="360" w:lineRule="auto"/>
              <w:ind w:right="141"/>
              <w:rPr>
                <w:rFonts w:asciiTheme="majorBidi" w:hAnsiTheme="majorBidi" w:cstheme="majorBidi"/>
              </w:rPr>
            </w:pPr>
            <w:r>
              <w:rPr>
                <w:rFonts w:asciiTheme="majorBidi" w:hAnsiTheme="majorBidi" w:cstheme="majorBidi"/>
              </w:rPr>
              <w:t>ETR (mm)</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37.47</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26.76</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22.02</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24.53</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38.53</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50.93</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80.98</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4.76</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1.94</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3.60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25.57</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32.72</w:t>
            </w:r>
          </w:p>
        </w:tc>
        <w:tc>
          <w:tcPr>
            <w:tcW w:w="850"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349.81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959" w:type="dxa"/>
            <w:shd w:val="clear" w:color="auto" w:fill="00B0F0"/>
            <w:vAlign w:val="center"/>
          </w:tcPr>
          <w:p>
            <w:pPr>
              <w:spacing w:after="0" w:line="360" w:lineRule="auto"/>
              <w:ind w:right="141"/>
              <w:rPr>
                <w:rFonts w:asciiTheme="majorBidi" w:hAnsiTheme="majorBidi" w:cstheme="majorBidi"/>
              </w:rPr>
            </w:pPr>
            <w:r>
              <w:rPr>
                <w:rFonts w:asciiTheme="majorBidi" w:hAnsiTheme="majorBidi" w:cstheme="majorBidi"/>
              </w:rPr>
              <w:t>Da (mm)</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110.15</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146.75</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143.23</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78.08</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39.43</w:t>
            </w:r>
          </w:p>
        </w:tc>
        <w:tc>
          <w:tcPr>
            <w:tcW w:w="850"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517.64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959" w:type="dxa"/>
            <w:shd w:val="clear" w:color="auto" w:fill="00B0F0"/>
            <w:vAlign w:val="center"/>
          </w:tcPr>
          <w:p>
            <w:pPr>
              <w:spacing w:after="0" w:line="360" w:lineRule="auto"/>
              <w:ind w:right="141"/>
              <w:rPr>
                <w:rFonts w:asciiTheme="majorBidi" w:hAnsiTheme="majorBidi" w:cstheme="majorBidi"/>
              </w:rPr>
            </w:pPr>
            <w:r>
              <w:rPr>
                <w:rFonts w:asciiTheme="majorBidi" w:hAnsiTheme="majorBidi" w:cstheme="majorBidi"/>
              </w:rPr>
              <w:t>Ex (mm)</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12.94</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0.56</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850"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959" w:type="dxa"/>
            <w:shd w:val="clear" w:color="auto" w:fill="00B0F0"/>
            <w:vAlign w:val="center"/>
          </w:tcPr>
          <w:p>
            <w:pPr>
              <w:spacing w:after="0" w:line="360" w:lineRule="auto"/>
              <w:ind w:right="141"/>
              <w:rPr>
                <w:rFonts w:asciiTheme="majorBidi" w:hAnsiTheme="majorBidi" w:cstheme="majorBidi"/>
              </w:rPr>
            </w:pPr>
            <w:r>
              <w:rPr>
                <w:rFonts w:asciiTheme="majorBidi" w:hAnsiTheme="majorBidi" w:cstheme="majorBidi"/>
              </w:rPr>
              <w:t>Ec   (mm)</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6.47</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0.28</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8"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709"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0</w:t>
            </w:r>
          </w:p>
        </w:tc>
        <w:tc>
          <w:tcPr>
            <w:tcW w:w="850" w:type="dxa"/>
            <w:shd w:val="clear" w:color="auto" w:fill="auto"/>
            <w:vAlign w:val="center"/>
          </w:tcPr>
          <w:p>
            <w:pPr>
              <w:spacing w:after="0" w:line="360" w:lineRule="auto"/>
              <w:ind w:right="141"/>
              <w:rPr>
                <w:rFonts w:asciiTheme="majorBidi" w:hAnsiTheme="majorBidi" w:cstheme="majorBidi"/>
              </w:rPr>
            </w:pPr>
            <w:r>
              <w:rPr>
                <w:rFonts w:asciiTheme="majorBidi" w:hAnsiTheme="majorBidi" w:cstheme="majorBidi"/>
              </w:rPr>
              <w:t>6.75</w:t>
            </w:r>
          </w:p>
        </w:tc>
      </w:tr>
    </w:tbl>
    <w:p>
      <w:pPr>
        <w:tabs>
          <w:tab w:val="left" w:pos="1641"/>
        </w:tabs>
        <w:spacing w:line="360" w:lineRule="auto"/>
        <w:jc w:val="center"/>
        <w:rPr>
          <w:rFonts w:asciiTheme="majorBidi" w:hAnsiTheme="majorBidi" w:cstheme="majorBidi"/>
          <w:sz w:val="24"/>
          <w:szCs w:val="24"/>
        </w:rPr>
      </w:pPr>
      <w:r>
        <w:rPr>
          <w:rFonts w:asciiTheme="majorBidi" w:hAnsiTheme="majorBidi" w:cstheme="majorBidi"/>
          <w:sz w:val="24"/>
          <w:szCs w:val="24"/>
        </w:rPr>
        <w:t>Tableau n°14 : Tableau récapitulatif du bilan hydrologique de Thornthwaite.</w:t>
      </w:r>
    </w:p>
    <w:p>
      <w:pPr>
        <w:spacing w:after="0" w:line="360" w:lineRule="auto"/>
        <w:ind w:left="709" w:hanging="1"/>
        <w:jc w:val="center"/>
        <w:rPr>
          <w:rFonts w:asciiTheme="majorBidi" w:hAnsiTheme="majorBidi" w:cstheme="majorBidi"/>
          <w:b/>
          <w:bCs/>
          <w:sz w:val="24"/>
          <w:szCs w:val="24"/>
        </w:rPr>
      </w:pPr>
      <w:r>
        <w:rPr>
          <w:rFonts w:asciiTheme="majorBidi" w:hAnsiTheme="majorBidi" w:cstheme="majorBidi"/>
          <w:b/>
          <w:bCs/>
          <w:sz w:val="24"/>
          <w:szCs w:val="24"/>
          <w:highlight w:val="yellow"/>
        </w:rPr>
        <w:t xml:space="preserve"> </w:t>
      </w:r>
    </w:p>
    <w:p>
      <w:pPr>
        <w:pStyle w:val="10"/>
        <w:spacing w:after="0" w:line="360" w:lineRule="auto"/>
        <w:ind w:left="0"/>
        <w:jc w:val="both"/>
        <w:rPr>
          <w:rFonts w:asciiTheme="majorBidi" w:hAnsiTheme="majorBidi" w:cstheme="majorBidi"/>
          <w:b/>
          <w:bCs/>
          <w:sz w:val="24"/>
          <w:szCs w:val="24"/>
        </w:rPr>
      </w:pPr>
      <w:r>
        <w:rPr>
          <w:rFonts w:asciiTheme="majorBidi" w:hAnsiTheme="majorBidi" w:cstheme="majorBidi"/>
          <w:b/>
          <w:bCs/>
          <w:sz w:val="24"/>
          <w:szCs w:val="24"/>
        </w:rPr>
        <w:t>9. Bilan hydrologique  (1989-2008)</w:t>
      </w:r>
    </w:p>
    <w:p>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 formule du bilan hydrologique s’exprime de la manière suivante : </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P= </w:t>
      </w:r>
      <w:r>
        <w:rPr>
          <w:rFonts w:asciiTheme="majorBidi" w:hAnsiTheme="majorBidi" w:cstheme="majorBidi"/>
          <w:sz w:val="24"/>
          <w:szCs w:val="24"/>
        </w:rPr>
        <w:t>ETR + R + I + S</w:t>
      </w:r>
      <w:r>
        <w:rPr>
          <w:rFonts w:asciiTheme="majorBidi" w:hAnsiTheme="majorBidi" w:cstheme="majorBidi"/>
          <w:b/>
          <w:bCs/>
          <w:sz w:val="24"/>
          <w:szCs w:val="24"/>
        </w:rPr>
        <w:t>.</w:t>
      </w:r>
    </w:p>
    <w:p>
      <w:pPr>
        <w:spacing w:after="0" w:line="360" w:lineRule="auto"/>
        <w:ind w:hanging="1"/>
        <w:jc w:val="both"/>
        <w:rPr>
          <w:rFonts w:asciiTheme="majorBidi" w:hAnsiTheme="majorBidi" w:cstheme="majorBidi"/>
          <w:sz w:val="24"/>
          <w:szCs w:val="24"/>
        </w:rPr>
      </w:pPr>
      <w:r>
        <w:rPr>
          <w:rFonts w:asciiTheme="majorBidi" w:hAnsiTheme="majorBidi" w:cstheme="majorBidi"/>
          <w:sz w:val="24"/>
          <w:szCs w:val="24"/>
        </w:rPr>
        <w:t>Avec :</w:t>
      </w:r>
    </w:p>
    <w:p>
      <w:pPr>
        <w:spacing w:after="0" w:line="360" w:lineRule="auto"/>
        <w:ind w:hanging="1"/>
        <w:jc w:val="both"/>
        <w:rPr>
          <w:rFonts w:asciiTheme="majorBidi" w:hAnsiTheme="majorBidi" w:cstheme="majorBidi"/>
          <w:sz w:val="24"/>
          <w:szCs w:val="24"/>
        </w:rPr>
      </w:pPr>
      <w:r>
        <w:rPr>
          <w:rFonts w:asciiTheme="majorBidi" w:hAnsiTheme="majorBidi" w:cstheme="majorBidi"/>
          <w:b/>
          <w:bCs/>
          <w:sz w:val="24"/>
          <w:szCs w:val="24"/>
        </w:rPr>
        <w:t>P :</w:t>
      </w:r>
      <w:r>
        <w:rPr>
          <w:rFonts w:asciiTheme="majorBidi" w:hAnsiTheme="majorBidi" w:cstheme="majorBidi"/>
          <w:sz w:val="24"/>
          <w:szCs w:val="24"/>
        </w:rPr>
        <w:t xml:space="preserve"> précipitation moyenne annuelle (mm).</w:t>
      </w:r>
    </w:p>
    <w:p>
      <w:pPr>
        <w:spacing w:after="0" w:line="360" w:lineRule="auto"/>
        <w:ind w:hanging="1"/>
        <w:jc w:val="both"/>
        <w:rPr>
          <w:rFonts w:asciiTheme="majorBidi" w:hAnsiTheme="majorBidi" w:cstheme="majorBidi"/>
          <w:sz w:val="24"/>
          <w:szCs w:val="24"/>
        </w:rPr>
      </w:pPr>
      <w:r>
        <w:rPr>
          <w:rFonts w:asciiTheme="majorBidi" w:hAnsiTheme="majorBidi" w:cstheme="majorBidi"/>
          <w:b/>
          <w:bCs/>
          <w:sz w:val="24"/>
          <w:szCs w:val="24"/>
        </w:rPr>
        <w:t>ETR :</w:t>
      </w:r>
      <w:r>
        <w:rPr>
          <w:rFonts w:asciiTheme="majorBidi" w:hAnsiTheme="majorBidi" w:cstheme="majorBidi"/>
          <w:sz w:val="24"/>
          <w:szCs w:val="24"/>
        </w:rPr>
        <w:t xml:space="preserve"> évapotranspiration réelle (mm).</w:t>
      </w:r>
    </w:p>
    <w:p>
      <w:pPr>
        <w:spacing w:after="0" w:line="360" w:lineRule="auto"/>
        <w:ind w:hanging="1"/>
        <w:jc w:val="both"/>
        <w:rPr>
          <w:rFonts w:asciiTheme="majorBidi" w:hAnsiTheme="majorBidi" w:cstheme="majorBidi"/>
          <w:sz w:val="24"/>
          <w:szCs w:val="24"/>
        </w:rPr>
      </w:pPr>
      <w:r>
        <w:rPr>
          <w:rFonts w:asciiTheme="majorBidi" w:hAnsiTheme="majorBidi" w:cstheme="majorBidi"/>
          <w:b/>
          <w:bCs/>
          <w:sz w:val="24"/>
          <w:szCs w:val="24"/>
        </w:rPr>
        <w:t>I :</w:t>
      </w:r>
      <w:r>
        <w:rPr>
          <w:rFonts w:asciiTheme="majorBidi" w:hAnsiTheme="majorBidi" w:cstheme="majorBidi"/>
          <w:sz w:val="24"/>
          <w:szCs w:val="24"/>
        </w:rPr>
        <w:t xml:space="preserve"> Infiltration moyenne annuelle (mm).</w:t>
      </w:r>
    </w:p>
    <w:p>
      <w:pPr>
        <w:spacing w:after="0" w:line="360" w:lineRule="auto"/>
        <w:ind w:hanging="1"/>
        <w:jc w:val="both"/>
        <w:rPr>
          <w:rFonts w:asciiTheme="majorBidi" w:hAnsiTheme="majorBidi" w:cstheme="majorBidi"/>
          <w:sz w:val="24"/>
          <w:szCs w:val="24"/>
        </w:rPr>
      </w:pPr>
      <w:r>
        <w:rPr>
          <w:rFonts w:asciiTheme="majorBidi" w:hAnsiTheme="majorBidi" w:cstheme="majorBidi"/>
          <w:b/>
          <w:bCs/>
          <w:sz w:val="24"/>
          <w:szCs w:val="24"/>
        </w:rPr>
        <w:t>S :</w:t>
      </w:r>
      <w:r>
        <w:rPr>
          <w:rFonts w:asciiTheme="majorBidi" w:hAnsiTheme="majorBidi" w:cstheme="majorBidi"/>
          <w:sz w:val="24"/>
          <w:szCs w:val="24"/>
        </w:rPr>
        <w:t xml:space="preserve"> Variation de la réserve que nous supposons nulle (si nous établissons un bilan sur une période de 10 ans par exemple).</w:t>
      </w:r>
    </w:p>
    <w:p>
      <w:pPr>
        <w:spacing w:after="0" w:line="360" w:lineRule="auto"/>
        <w:ind w:hanging="1"/>
        <w:jc w:val="both"/>
        <w:rPr>
          <w:rFonts w:asciiTheme="majorBidi" w:hAnsiTheme="majorBidi" w:cstheme="majorBidi"/>
          <w:sz w:val="24"/>
          <w:szCs w:val="24"/>
        </w:rPr>
      </w:pPr>
      <w:r>
        <w:rPr>
          <w:rFonts w:asciiTheme="majorBidi" w:hAnsiTheme="majorBidi" w:cstheme="majorBidi"/>
          <w:b/>
          <w:bCs/>
          <w:sz w:val="24"/>
          <w:szCs w:val="24"/>
        </w:rPr>
        <w:t>R :</w:t>
      </w:r>
      <w:r>
        <w:rPr>
          <w:rFonts w:asciiTheme="majorBidi" w:hAnsiTheme="majorBidi" w:cstheme="majorBidi"/>
          <w:sz w:val="24"/>
          <w:szCs w:val="24"/>
        </w:rPr>
        <w:t xml:space="preserve"> Ruissellement moyen annuel (mm).</w:t>
      </w:r>
    </w:p>
    <w:p>
      <w:pPr>
        <w:spacing w:after="0" w:line="360" w:lineRule="auto"/>
        <w:ind w:hanging="1"/>
        <w:jc w:val="both"/>
        <w:rPr>
          <w:rFonts w:asciiTheme="majorBidi" w:hAnsiTheme="majorBidi" w:cstheme="majorBidi"/>
          <w:sz w:val="24"/>
          <w:szCs w:val="24"/>
        </w:rPr>
      </w:pPr>
      <w:r>
        <w:rPr>
          <w:rFonts w:asciiTheme="majorBidi" w:hAnsiTheme="majorBidi" w:cstheme="majorBidi"/>
          <w:sz w:val="24"/>
          <w:szCs w:val="24"/>
        </w:rPr>
        <w:t xml:space="preserve"> La valeur de précipitations est connue. La détermination des autres paramètres permet la déduction du bilan hydrologique global. </w:t>
      </w:r>
    </w:p>
    <w:p>
      <w:pPr>
        <w:spacing w:after="0" w:line="360" w:lineRule="auto"/>
        <w:ind w:left="709" w:hanging="709"/>
        <w:jc w:val="both"/>
        <w:rPr>
          <w:rFonts w:asciiTheme="majorBidi" w:hAnsiTheme="majorBidi" w:cstheme="majorBidi"/>
          <w:b/>
          <w:bCs/>
          <w:sz w:val="24"/>
          <w:szCs w:val="24"/>
        </w:rPr>
      </w:pPr>
      <w:r>
        <w:rPr>
          <w:rFonts w:asciiTheme="majorBidi" w:hAnsiTheme="majorBidi" w:cstheme="majorBidi"/>
          <w:b/>
          <w:bCs/>
          <w:sz w:val="24"/>
          <w:szCs w:val="24"/>
        </w:rPr>
        <w:t xml:space="preserve">9.1  Calcul du ruissellement  par la méthode de TIXERONT-BERKALOFF </w:t>
      </w:r>
    </w:p>
    <w:p>
      <w:pPr>
        <w:spacing w:after="0" w:line="360" w:lineRule="auto"/>
        <w:ind w:hanging="1"/>
        <w:jc w:val="both"/>
        <w:rPr>
          <w:rFonts w:asciiTheme="majorBidi" w:hAnsiTheme="majorBidi" w:cstheme="majorBidi"/>
          <w:sz w:val="24"/>
          <w:szCs w:val="24"/>
        </w:rPr>
      </w:pPr>
      <w:r>
        <w:rPr>
          <w:rFonts w:asciiTheme="majorBidi" w:hAnsiTheme="majorBidi" w:cstheme="majorBidi"/>
          <w:b/>
          <w:bCs/>
          <w:sz w:val="24"/>
          <w:szCs w:val="24"/>
        </w:rPr>
        <w:t xml:space="preserve"> R</w:t>
      </w:r>
      <w:r>
        <w:rPr>
          <w:rFonts w:asciiTheme="majorBidi" w:hAnsiTheme="majorBidi" w:cstheme="majorBidi"/>
          <w:sz w:val="24"/>
          <w:szCs w:val="24"/>
        </w:rPr>
        <w:t xml:space="preserve"> = P</w:t>
      </w:r>
      <w:r>
        <w:rPr>
          <w:rFonts w:asciiTheme="majorBidi" w:hAnsiTheme="majorBidi" w:cstheme="majorBidi"/>
          <w:sz w:val="24"/>
          <w:szCs w:val="24"/>
          <w:vertAlign w:val="superscript"/>
        </w:rPr>
        <w:t>3</w:t>
      </w:r>
      <w:r>
        <w:rPr>
          <w:rFonts w:asciiTheme="majorBidi" w:hAnsiTheme="majorBidi" w:cstheme="majorBidi"/>
          <w:sz w:val="24"/>
          <w:szCs w:val="24"/>
        </w:rPr>
        <w:t xml:space="preserve"> /3(ETP) </w:t>
      </w:r>
      <w:r>
        <w:rPr>
          <w:rFonts w:asciiTheme="majorBidi" w:hAnsiTheme="majorBidi" w:cstheme="majorBidi"/>
          <w:sz w:val="24"/>
          <w:szCs w:val="24"/>
          <w:vertAlign w:val="superscript"/>
        </w:rPr>
        <w:t>2</w:t>
      </w:r>
    </w:p>
    <w:p>
      <w:pPr>
        <w:spacing w:after="0" w:line="360" w:lineRule="auto"/>
        <w:ind w:hanging="1"/>
        <w:jc w:val="both"/>
        <w:rPr>
          <w:rFonts w:asciiTheme="majorBidi" w:hAnsiTheme="majorBidi" w:cstheme="majorBidi"/>
          <w:color w:val="FF0000"/>
          <w:sz w:val="24"/>
          <w:szCs w:val="24"/>
        </w:rPr>
      </w:pPr>
      <w:r>
        <w:rPr>
          <w:rFonts w:asciiTheme="majorBidi" w:hAnsiTheme="majorBidi" w:cstheme="majorBidi"/>
          <w:b/>
          <w:bCs/>
          <w:sz w:val="24"/>
          <w:szCs w:val="24"/>
        </w:rPr>
        <w:t>R</w:t>
      </w:r>
      <w:r>
        <w:rPr>
          <w:rFonts w:asciiTheme="majorBidi" w:hAnsiTheme="majorBidi" w:cstheme="majorBidi"/>
          <w:sz w:val="24"/>
          <w:szCs w:val="24"/>
        </w:rPr>
        <w:t xml:space="preserve"> =394.14</w:t>
      </w:r>
      <w:r>
        <w:rPr>
          <w:rFonts w:asciiTheme="majorBidi" w:hAnsiTheme="majorBidi" w:cstheme="majorBidi"/>
          <w:sz w:val="24"/>
          <w:szCs w:val="24"/>
          <w:vertAlign w:val="superscript"/>
        </w:rPr>
        <w:t>3</w:t>
      </w:r>
      <w:r>
        <w:rPr>
          <w:rFonts w:asciiTheme="majorBidi" w:hAnsiTheme="majorBidi" w:cstheme="majorBidi"/>
          <w:sz w:val="24"/>
          <w:szCs w:val="24"/>
        </w:rPr>
        <w:t xml:space="preserve"> /3(865.45)</w:t>
      </w:r>
      <w:r>
        <w:rPr>
          <w:rFonts w:asciiTheme="majorBidi" w:hAnsiTheme="majorBidi" w:cstheme="majorBidi"/>
          <w:sz w:val="24"/>
          <w:szCs w:val="24"/>
          <w:vertAlign w:val="superscript"/>
        </w:rPr>
        <w:t>2</w:t>
      </w:r>
      <w:r>
        <w:rPr>
          <w:rFonts w:asciiTheme="majorBidi" w:hAnsiTheme="majorBidi" w:cstheme="majorBidi"/>
          <w:sz w:val="24"/>
          <w:szCs w:val="24"/>
        </w:rPr>
        <w:t xml:space="preserve">    </w:t>
      </w:r>
    </w:p>
    <w:p>
      <w:pPr>
        <w:spacing w:after="0" w:line="360" w:lineRule="auto"/>
        <w:ind w:hanging="1"/>
        <w:jc w:val="both"/>
        <w:rPr>
          <w:rFonts w:asciiTheme="majorBidi" w:hAnsiTheme="majorBidi" w:cstheme="majorBidi"/>
          <w:sz w:val="24"/>
          <w:szCs w:val="24"/>
        </w:rPr>
      </w:pPr>
      <w:r>
        <w:rPr>
          <w:rFonts w:asciiTheme="majorBidi" w:hAnsiTheme="majorBidi" w:cstheme="majorBidi"/>
          <w:b/>
          <w:bCs/>
          <w:sz w:val="24"/>
          <w:szCs w:val="24"/>
        </w:rPr>
        <w:t>R</w:t>
      </w:r>
      <w:r>
        <w:rPr>
          <w:rFonts w:asciiTheme="majorBidi" w:hAnsiTheme="majorBidi" w:cstheme="majorBidi"/>
          <w:sz w:val="24"/>
          <w:szCs w:val="24"/>
        </w:rPr>
        <w:t xml:space="preserve"> = 27.23mm.</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9.2 Estimation de l’infiltration </w:t>
      </w:r>
    </w:p>
    <w:p>
      <w:pPr>
        <w:spacing w:after="0" w:line="360" w:lineRule="auto"/>
        <w:ind w:left="709" w:hanging="1"/>
        <w:jc w:val="center"/>
        <w:rPr>
          <w:rFonts w:asciiTheme="majorBidi" w:hAnsiTheme="majorBidi" w:cstheme="majorBidi"/>
          <w:sz w:val="24"/>
          <w:szCs w:val="24"/>
        </w:rPr>
      </w:pPr>
      <w:r>
        <w:rPr>
          <w:rFonts w:asciiTheme="majorBidi" w:hAnsiTheme="majorBidi" w:cstheme="majorBidi"/>
          <w:sz w:val="24"/>
          <w:szCs w:val="24"/>
        </w:rPr>
        <w:t>Tableaux n°15: l’estimation des valeurs de l’infiltration par différente méthodes.</w:t>
      </w:r>
    </w:p>
    <w:tbl>
      <w:tblPr>
        <w:tblStyle w:val="11"/>
        <w:tblW w:w="952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9"/>
        <w:gridCol w:w="1262"/>
        <w:gridCol w:w="1191"/>
        <w:gridCol w:w="1130"/>
        <w:gridCol w:w="2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3199"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Méthodes</w:t>
            </w:r>
          </w:p>
        </w:tc>
        <w:tc>
          <w:tcPr>
            <w:tcW w:w="1262"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P (mm)</w:t>
            </w:r>
          </w:p>
        </w:tc>
        <w:tc>
          <w:tcPr>
            <w:tcW w:w="1191"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R (mm)</w:t>
            </w:r>
          </w:p>
        </w:tc>
        <w:tc>
          <w:tcPr>
            <w:tcW w:w="1130"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I (mm)</w:t>
            </w:r>
          </w:p>
        </w:tc>
        <w:tc>
          <w:tcPr>
            <w:tcW w:w="2742"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L’interprétation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3199"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Méthode de Thornthwaite</w:t>
            </w:r>
          </w:p>
        </w:tc>
        <w:tc>
          <w:tcPr>
            <w:tcW w:w="1262"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394,08</w:t>
            </w:r>
          </w:p>
        </w:tc>
        <w:tc>
          <w:tcPr>
            <w:tcW w:w="1191"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27.23</w:t>
            </w:r>
          </w:p>
        </w:tc>
        <w:tc>
          <w:tcPr>
            <w:tcW w:w="1130"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17.04</w:t>
            </w:r>
          </w:p>
        </w:tc>
        <w:tc>
          <w:tcPr>
            <w:tcW w:w="2742"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Applicable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3199"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Méthode deTurc</w:t>
            </w:r>
          </w:p>
        </w:tc>
        <w:tc>
          <w:tcPr>
            <w:tcW w:w="1262"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394,08</w:t>
            </w:r>
          </w:p>
        </w:tc>
        <w:tc>
          <w:tcPr>
            <w:tcW w:w="1191"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27.23</w:t>
            </w:r>
          </w:p>
        </w:tc>
        <w:tc>
          <w:tcPr>
            <w:tcW w:w="1130"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-18.18</w:t>
            </w:r>
          </w:p>
        </w:tc>
        <w:tc>
          <w:tcPr>
            <w:tcW w:w="2742"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N’est pas Applicable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3199"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Méthode de coutagne</w:t>
            </w:r>
          </w:p>
        </w:tc>
        <w:tc>
          <w:tcPr>
            <w:tcW w:w="1262"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394 ,08</w:t>
            </w:r>
          </w:p>
        </w:tc>
        <w:tc>
          <w:tcPr>
            <w:tcW w:w="1191"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27.23</w:t>
            </w:r>
          </w:p>
        </w:tc>
        <w:tc>
          <w:tcPr>
            <w:tcW w:w="1130"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19.99</w:t>
            </w:r>
          </w:p>
        </w:tc>
        <w:tc>
          <w:tcPr>
            <w:tcW w:w="2742"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Applicable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3199" w:type="dxa"/>
            <w:shd w:val="clear" w:color="auto" w:fill="00B0F0"/>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Méthode de Verdeil</w:t>
            </w:r>
          </w:p>
        </w:tc>
        <w:tc>
          <w:tcPr>
            <w:tcW w:w="1262"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394,08</w:t>
            </w:r>
          </w:p>
        </w:tc>
        <w:tc>
          <w:tcPr>
            <w:tcW w:w="1191"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27.23</w:t>
            </w:r>
          </w:p>
        </w:tc>
        <w:tc>
          <w:tcPr>
            <w:tcW w:w="1130"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-8.15</w:t>
            </w:r>
          </w:p>
        </w:tc>
        <w:tc>
          <w:tcPr>
            <w:tcW w:w="2742" w:type="dxa"/>
            <w:shd w:val="clear" w:color="auto" w:fill="auto"/>
            <w:vAlign w:val="center"/>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N’est pas Applicable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3199" w:type="dxa"/>
            <w:shd w:val="clear" w:color="auto" w:fill="00B0F0"/>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Méthode de Wundt</w:t>
            </w:r>
          </w:p>
        </w:tc>
        <w:tc>
          <w:tcPr>
            <w:tcW w:w="1262" w:type="dxa"/>
            <w:shd w:val="clear" w:color="auto" w:fill="auto"/>
          </w:tcPr>
          <w:p>
            <w:pPr>
              <w:spacing w:after="0" w:line="360" w:lineRule="auto"/>
              <w:ind w:right="141"/>
              <w:rPr>
                <w:rFonts w:asciiTheme="majorBidi" w:hAnsiTheme="majorBidi" w:cstheme="majorBidi"/>
                <w:sz w:val="24"/>
                <w:szCs w:val="24"/>
              </w:rPr>
            </w:pPr>
            <w:r>
              <w:rPr>
                <w:rFonts w:asciiTheme="majorBidi" w:hAnsiTheme="majorBidi" w:cstheme="majorBidi"/>
                <w:sz w:val="24"/>
                <w:szCs w:val="24"/>
              </w:rPr>
              <w:t>394,08</w:t>
            </w:r>
          </w:p>
        </w:tc>
        <w:tc>
          <w:tcPr>
            <w:tcW w:w="1191" w:type="dxa"/>
            <w:shd w:val="clear" w:color="auto" w:fill="auto"/>
          </w:tcPr>
          <w:p>
            <w:pPr>
              <w:spacing w:after="0" w:line="360" w:lineRule="auto"/>
              <w:rPr>
                <w:rFonts w:asciiTheme="majorBidi" w:hAnsiTheme="majorBidi" w:cstheme="majorBidi"/>
                <w:sz w:val="24"/>
                <w:szCs w:val="24"/>
              </w:rPr>
            </w:pPr>
            <w:r>
              <w:rPr>
                <w:rFonts w:asciiTheme="majorBidi" w:hAnsiTheme="majorBidi" w:cstheme="majorBidi"/>
                <w:sz w:val="24"/>
                <w:szCs w:val="24"/>
              </w:rPr>
              <w:t>27.23</w:t>
            </w:r>
          </w:p>
        </w:tc>
        <w:tc>
          <w:tcPr>
            <w:tcW w:w="1130" w:type="dxa"/>
            <w:shd w:val="clear" w:color="auto" w:fill="auto"/>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-3.15</w:t>
            </w:r>
          </w:p>
        </w:tc>
        <w:tc>
          <w:tcPr>
            <w:tcW w:w="2742" w:type="dxa"/>
            <w:shd w:val="clear" w:color="auto" w:fill="auto"/>
          </w:tcPr>
          <w:p>
            <w:pPr>
              <w:spacing w:after="0" w:line="360" w:lineRule="auto"/>
              <w:ind w:right="141"/>
              <w:jc w:val="center"/>
              <w:rPr>
                <w:rFonts w:asciiTheme="majorBidi" w:hAnsiTheme="majorBidi" w:cstheme="majorBidi"/>
                <w:sz w:val="24"/>
                <w:szCs w:val="24"/>
              </w:rPr>
            </w:pPr>
            <w:r>
              <w:rPr>
                <w:rFonts w:asciiTheme="majorBidi" w:hAnsiTheme="majorBidi" w:cstheme="majorBidi"/>
                <w:sz w:val="24"/>
                <w:szCs w:val="24"/>
              </w:rPr>
              <w:t>N’est pas Applicable</w:t>
            </w:r>
          </w:p>
        </w:tc>
      </w:tr>
    </w:tbl>
    <w:p>
      <w:pPr>
        <w:spacing w:after="0" w:line="360" w:lineRule="auto"/>
        <w:jc w:val="both"/>
        <w:rPr>
          <w:rFonts w:asciiTheme="majorBidi" w:hAnsiTheme="majorBidi" w:cstheme="majorBidi"/>
          <w:b/>
          <w:bCs/>
          <w:sz w:val="24"/>
          <w:szCs w:val="24"/>
        </w:rPr>
      </w:pP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Conclusion</w:t>
      </w:r>
    </w:p>
    <w:p>
      <w:pPr>
        <w:spacing w:after="0" w:line="360" w:lineRule="auto"/>
        <w:ind w:firstLine="284"/>
      </w:pPr>
      <w:r>
        <w:rPr>
          <w:rFonts w:asciiTheme="majorBidi" w:hAnsiTheme="majorBidi" w:cstheme="majorBidi"/>
          <w:sz w:val="24"/>
          <w:szCs w:val="24"/>
        </w:rPr>
        <w:t>D'après l'étude climatologique, on constate que la région d’Acheacha est caractérisée par un climat semi-aride de type Méditerranée,</w:t>
      </w:r>
    </w:p>
    <w:p>
      <w:pPr>
        <w:spacing w:after="0" w:line="360" w:lineRule="auto"/>
        <w:ind w:firstLine="284"/>
      </w:pPr>
      <w:r>
        <w:rPr>
          <w:rFonts w:asciiTheme="majorBidi" w:hAnsiTheme="majorBidi" w:cstheme="majorBidi"/>
          <w:sz w:val="24"/>
          <w:szCs w:val="24"/>
        </w:rPr>
        <w:t>Les précipitations moyennes annuelles varient entre 390 et 450 mm, avec la température moyenne 17.77°C.</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Les vents sont assez réguliers et souvent intenses, surtout pendant l’Hiver et le début de l'été, ceci engendre une forte évaporation et évapotranspiration qui remobilise fortement les plans d'eau des nappes libres peu profondes.</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 ruissellement et L'infiltration représentent respectivement 6.81 % et 4.20 % de la lame d’eau précipitée annuellement.</w:t>
      </w: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p>
    <w:p>
      <w:pPr>
        <w:jc w:val="both"/>
        <w:rPr>
          <w:rFonts w:asciiTheme="majorBidi" w:hAnsiTheme="majorBidi" w:cstheme="majorBidi"/>
          <w:b/>
          <w:bCs/>
          <w:sz w:val="24"/>
          <w:szCs w:val="24"/>
        </w:rPr>
      </w:pPr>
      <w:r>
        <w:rPr>
          <w:rFonts w:asciiTheme="majorBidi" w:hAnsiTheme="majorBidi" w:cstheme="majorBidi"/>
          <w:b/>
          <w:bCs/>
          <w:sz w:val="24"/>
          <w:szCs w:val="24"/>
        </w:rPr>
        <w:t>II. Etude morphométrique :</w:t>
      </w:r>
    </w:p>
    <w:p>
      <w:pPr>
        <w:jc w:val="both"/>
        <w:rPr>
          <w:rFonts w:asciiTheme="majorBidi" w:hAnsiTheme="majorBidi" w:cstheme="majorBidi"/>
          <w:b/>
          <w:bCs/>
          <w:sz w:val="24"/>
          <w:szCs w:val="24"/>
        </w:rPr>
      </w:pPr>
      <w:r>
        <w:rPr>
          <w:rFonts w:asciiTheme="majorBidi" w:hAnsiTheme="majorBidi" w:cstheme="majorBidi"/>
          <w:b/>
          <w:bCs/>
          <w:sz w:val="24"/>
          <w:szCs w:val="24"/>
        </w:rPr>
        <w:t>1-Introduction :</w:t>
      </w:r>
    </w:p>
    <w:p>
      <w:pPr>
        <w:spacing w:line="20" w:lineRule="atLeast"/>
        <w:ind w:firstLine="284"/>
        <w:rPr>
          <w:rFonts w:asciiTheme="majorBidi" w:hAnsiTheme="majorBidi" w:cstheme="majorBidi"/>
          <w:sz w:val="24"/>
          <w:szCs w:val="24"/>
        </w:rPr>
      </w:pPr>
      <w:r>
        <w:rPr>
          <w:rFonts w:asciiTheme="majorBidi" w:hAnsiTheme="majorBidi" w:cstheme="majorBidi"/>
          <w:sz w:val="24"/>
          <w:szCs w:val="24"/>
        </w:rPr>
        <w:t>Les différents paramètres morphologiques du milieu physique (formes, relief, pente, nature du sol, couverture végétal, etc.), jouent un rôle très important dans les modalités d’écoulement.</w:t>
      </w:r>
    </w:p>
    <w:p>
      <w:pPr>
        <w:spacing w:line="20" w:lineRule="atLeast"/>
        <w:ind w:firstLine="284"/>
        <w:rPr>
          <w:rFonts w:asciiTheme="majorBidi" w:hAnsiTheme="majorBidi" w:cstheme="majorBidi"/>
          <w:sz w:val="24"/>
          <w:szCs w:val="24"/>
        </w:rPr>
      </w:pPr>
      <w:r>
        <w:rPr>
          <w:rFonts w:asciiTheme="majorBidi" w:hAnsiTheme="majorBidi" w:cstheme="majorBidi"/>
          <w:sz w:val="24"/>
          <w:szCs w:val="24"/>
        </w:rPr>
        <w:t>L’étude morpho-métrique a pour but, de caractériser le bassin-versant d’oued Kramis à partir des cartes topographiques. À l’échelle 1/50.000</w:t>
      </w:r>
    </w:p>
    <w:p>
      <w:pPr>
        <w:autoSpaceDE w:val="0"/>
        <w:autoSpaceDN w:val="0"/>
        <w:adjustRightInd w:val="0"/>
        <w:spacing w:after="0"/>
        <w:rPr>
          <w:rFonts w:ascii="Times New Roman" w:hAnsi="Times New Roman" w:cs="Times New Roman"/>
          <w:b/>
          <w:bCs/>
          <w:sz w:val="24"/>
          <w:szCs w:val="24"/>
        </w:rPr>
      </w:pPr>
      <w:r>
        <w:rPr>
          <w:rFonts w:asciiTheme="majorBidi" w:hAnsiTheme="majorBidi" w:cstheme="majorBidi"/>
          <w:b/>
          <w:bCs/>
          <w:sz w:val="24"/>
          <w:szCs w:val="24"/>
          <w:lang w:bidi="ar-DZ"/>
        </w:rPr>
        <w:t>2.</w:t>
      </w:r>
      <w:r>
        <w:rPr>
          <w:rFonts w:ascii="Times New Roman" w:hAnsi="Times New Roman" w:cs="Times New Roman"/>
          <w:b/>
          <w:bCs/>
          <w:sz w:val="24"/>
          <w:szCs w:val="24"/>
        </w:rPr>
        <w:t>Étude morpho-métrique du bassin versant de l’oued Kramis:</w:t>
      </w:r>
    </w:p>
    <w:p>
      <w:pPr>
        <w:autoSpaceDE w:val="0"/>
        <w:autoSpaceDN w:val="0"/>
        <w:adjustRightInd w:val="0"/>
        <w:spacing w:after="0"/>
        <w:ind w:firstLine="284"/>
        <w:rPr>
          <w:rFonts w:ascii="Times New Roman" w:hAnsi="Times New Roman" w:cs="Times New Roman"/>
          <w:sz w:val="24"/>
          <w:szCs w:val="24"/>
        </w:rPr>
      </w:pPr>
      <w:r>
        <w:rPr>
          <w:rFonts w:ascii="Times New Roman" w:hAnsi="Times New Roman" w:cs="Times New Roman"/>
          <w:sz w:val="24"/>
          <w:szCs w:val="24"/>
        </w:rPr>
        <w:t>Cette partie consiste à étudier la forme du bassin versant, déterminer les paramètres hydrologiques primordiaux et de quantifier ses caractéristiques morphométriques :</w:t>
      </w:r>
    </w:p>
    <w:p>
      <w:pPr>
        <w:autoSpaceDE w:val="0"/>
        <w:autoSpaceDN w:val="0"/>
        <w:adjustRightInd w:val="0"/>
        <w:spacing w:after="0"/>
        <w:ind w:firstLine="284"/>
        <w:rPr>
          <w:rFonts w:ascii="Times New Roman" w:hAnsi="Times New Roman" w:cs="Times New Roman"/>
          <w:sz w:val="24"/>
          <w:szCs w:val="24"/>
        </w:rPr>
      </w:pPr>
      <w:r>
        <w:rPr>
          <w:rFonts w:ascii="Times New Roman" w:hAnsi="Times New Roman" w:cs="Times New Roman"/>
          <w:sz w:val="24"/>
          <w:szCs w:val="24"/>
        </w:rPr>
        <w:t>Le réseau hydrographique, la surface, la forme et le relief (pente).</w:t>
      </w:r>
    </w:p>
    <w:p>
      <w:pPr>
        <w:rPr>
          <w:rFonts w:ascii="Times New Roman" w:hAnsi="Times New Roman"/>
          <w:sz w:val="24"/>
          <w:szCs w:val="24"/>
          <w:lang w:bidi="ar-DZ"/>
        </w:rPr>
      </w:pPr>
      <w:r>
        <w:rPr>
          <w:rFonts w:asciiTheme="majorBidi" w:hAnsiTheme="majorBidi" w:cstheme="majorBidi"/>
          <w:b/>
          <w:bCs/>
          <w:sz w:val="24"/>
          <w:szCs w:val="24"/>
          <w:lang w:bidi="ar-DZ"/>
        </w:rPr>
        <w:t>2.1. La surface :</w:t>
      </w:r>
    </w:p>
    <w:p>
      <w:pPr>
        <w:spacing w:after="0" w:line="360" w:lineRule="auto"/>
        <w:rPr>
          <w:rFonts w:asciiTheme="majorBidi" w:hAnsiTheme="majorBidi" w:cstheme="majorBidi"/>
          <w:sz w:val="24"/>
          <w:szCs w:val="24"/>
          <w:lang w:bidi="ar-DZ"/>
        </w:rPr>
      </w:pPr>
      <w:r>
        <w:rPr>
          <w:rFonts w:asciiTheme="majorBidi" w:hAnsiTheme="majorBidi" w:cstheme="majorBidi"/>
          <w:sz w:val="24"/>
          <w:szCs w:val="24"/>
          <w:lang w:bidi="ar-DZ"/>
        </w:rPr>
        <w:t>La surface est obtenue par :</w:t>
      </w:r>
    </w:p>
    <w:p>
      <w:pPr>
        <w:spacing w:after="0" w:line="360" w:lineRule="auto"/>
        <w:rPr>
          <w:rFonts w:asciiTheme="majorBidi" w:hAnsiTheme="majorBidi" w:cstheme="majorBidi"/>
          <w:sz w:val="24"/>
          <w:szCs w:val="24"/>
          <w:lang w:bidi="ar-DZ"/>
        </w:rPr>
      </w:pPr>
      <w:r>
        <w:rPr>
          <w:rFonts w:asciiTheme="majorBidi" w:hAnsiTheme="majorBidi" w:cstheme="majorBidi"/>
          <w:sz w:val="24"/>
          <w:szCs w:val="24"/>
          <w:lang w:bidi="ar-DZ"/>
        </w:rPr>
        <w:t>Nous avons dessiné  le bassin versant d’Oued Kramis sur un papier millimétré :</w:t>
      </w:r>
    </w:p>
    <w:p>
      <w:pPr>
        <w:spacing w:after="0" w:line="360" w:lineRule="auto"/>
        <w:rPr>
          <w:rFonts w:asciiTheme="majorBidi" w:hAnsiTheme="majorBidi" w:cstheme="majorBidi"/>
          <w:sz w:val="24"/>
          <w:szCs w:val="24"/>
          <w:vertAlign w:val="superscript"/>
          <w:lang w:bidi="ar-DZ"/>
        </w:rPr>
      </w:pPr>
      <w:r>
        <w:rPr>
          <w:rFonts w:asciiTheme="majorBidi" w:hAnsiTheme="majorBidi" w:cstheme="majorBidi"/>
          <w:sz w:val="24"/>
          <w:szCs w:val="24"/>
          <w:lang w:bidi="ar-DZ"/>
        </w:rPr>
        <w:t>A= 298km</w:t>
      </w:r>
      <w:r>
        <w:rPr>
          <w:rFonts w:asciiTheme="majorBidi" w:hAnsiTheme="majorBidi" w:cstheme="majorBidi"/>
          <w:sz w:val="24"/>
          <w:szCs w:val="24"/>
          <w:vertAlign w:val="superscript"/>
          <w:lang w:bidi="ar-DZ"/>
        </w:rPr>
        <w:t>2</w:t>
      </w:r>
      <w:r>
        <w:rPr>
          <w:rFonts w:asciiTheme="majorBidi" w:hAnsiTheme="majorBidi" w:cstheme="majorBidi"/>
          <w:sz w:val="24"/>
          <w:szCs w:val="24"/>
          <w:lang w:bidi="ar-DZ"/>
        </w:rPr>
        <w:t>.</w:t>
      </w:r>
    </w:p>
    <w:p>
      <w:pPr>
        <w:spacing w:after="0" w:line="360" w:lineRule="auto"/>
        <w:rPr>
          <w:rFonts w:asciiTheme="majorBidi" w:hAnsiTheme="majorBidi" w:cstheme="majorBidi"/>
          <w:b/>
          <w:bCs/>
          <w:sz w:val="24"/>
          <w:szCs w:val="24"/>
          <w:vertAlign w:val="superscript"/>
          <w:lang w:bidi="ar-DZ"/>
        </w:rPr>
      </w:pPr>
      <w:r>
        <w:rPr>
          <w:rFonts w:asciiTheme="majorBidi" w:hAnsiTheme="majorBidi" w:cstheme="majorBidi"/>
          <w:b/>
          <w:bCs/>
          <w:sz w:val="24"/>
          <w:szCs w:val="24"/>
          <w:lang w:bidi="ar-DZ"/>
        </w:rPr>
        <w:t>2.2. Le périmètre :</w:t>
      </w:r>
    </w:p>
    <w:p>
      <w:pPr>
        <w:spacing w:after="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Son périmètre est:</w:t>
      </w:r>
    </w:p>
    <w:p>
      <w:pPr>
        <w:spacing w:after="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P= 74.5 km</w:t>
      </w:r>
    </w:p>
    <w:p>
      <w:pPr>
        <w:spacing w:after="0" w:line="360" w:lineRule="auto"/>
        <w:jc w:val="both"/>
        <w:rPr>
          <w:rFonts w:asciiTheme="majorBidi" w:hAnsiTheme="majorBidi" w:cstheme="majorBidi"/>
          <w:b/>
          <w:bCs/>
          <w:sz w:val="24"/>
          <w:szCs w:val="24"/>
          <w:lang w:bidi="ar-DZ"/>
        </w:rPr>
      </w:pPr>
      <w:r>
        <w:rPr>
          <w:rFonts w:asciiTheme="majorBidi" w:hAnsiTheme="majorBidi" w:cstheme="majorBidi"/>
          <w:b/>
          <w:bCs/>
          <w:sz w:val="24"/>
          <w:szCs w:val="24"/>
          <w:lang w:bidi="ar-DZ"/>
        </w:rPr>
        <w:t>2.3. Le coefficient de compacité de gravilus (K</w:t>
      </w:r>
      <w:r>
        <w:rPr>
          <w:rFonts w:asciiTheme="majorBidi" w:hAnsiTheme="majorBidi" w:cstheme="majorBidi"/>
          <w:b/>
          <w:bCs/>
          <w:sz w:val="24"/>
          <w:szCs w:val="24"/>
          <w:vertAlign w:val="subscript"/>
          <w:lang w:bidi="ar-DZ"/>
        </w:rPr>
        <w:t>G</w:t>
      </w:r>
      <w:r>
        <w:rPr>
          <w:rFonts w:asciiTheme="majorBidi" w:hAnsiTheme="majorBidi" w:cstheme="majorBidi"/>
          <w:b/>
          <w:bCs/>
          <w:sz w:val="24"/>
          <w:szCs w:val="24"/>
          <w:lang w:bidi="ar-DZ"/>
        </w:rPr>
        <w:t>) :</w:t>
      </w:r>
    </w:p>
    <w:p>
      <w:pPr>
        <w:spacing w:after="0" w:line="360" w:lineRule="auto"/>
        <w:ind w:firstLine="284"/>
        <w:rPr>
          <w:rFonts w:asciiTheme="majorBidi" w:hAnsiTheme="majorBidi" w:cstheme="majorBidi"/>
          <w:b/>
          <w:bCs/>
          <w:position w:val="-28"/>
          <w:sz w:val="24"/>
          <w:szCs w:val="24"/>
          <w:lang w:bidi="ar-DZ"/>
        </w:rPr>
      </w:pPr>
      <w:r>
        <w:rPr>
          <w:rFonts w:asciiTheme="majorBidi" w:hAnsiTheme="majorBidi" w:cstheme="majorBidi"/>
          <w:sz w:val="24"/>
          <w:szCs w:val="24"/>
          <w:lang w:bidi="ar-DZ"/>
        </w:rPr>
        <w:t>La forme du bassin et sa caractéristique est mesurée par le coefficient Kc de Gravélius ou coefficient de forme, il se définit comme étant le rapport entre le périmètre (P) du bassin versant et celui du cercle ayant une aire identique.</w:t>
      </w:r>
      <w:r>
        <w:rPr>
          <w:rFonts w:asciiTheme="majorBidi" w:hAnsiTheme="majorBidi" w:cstheme="majorBidi"/>
          <w:b/>
          <w:bCs/>
          <w:position w:val="-28"/>
          <w:sz w:val="24"/>
          <w:szCs w:val="24"/>
          <w:lang w:bidi="ar-DZ"/>
        </w:rPr>
        <w:t xml:space="preserve"> </w:t>
      </w:r>
    </w:p>
    <w:p>
      <w:pPr>
        <w:spacing w:after="0" w:line="360" w:lineRule="auto"/>
        <w:rPr>
          <w:rFonts w:asciiTheme="majorBidi" w:hAnsiTheme="majorBidi" w:cstheme="majorBidi"/>
          <w:sz w:val="24"/>
          <w:szCs w:val="24"/>
          <w:lang w:bidi="ar-DZ"/>
        </w:rPr>
      </w:pPr>
      <w:r>
        <w:rPr>
          <w:rFonts w:asciiTheme="majorBidi" w:hAnsiTheme="majorBidi" w:cstheme="majorBidi"/>
          <w:b/>
          <w:bCs/>
          <w:position w:val="-28"/>
          <w:sz w:val="24"/>
          <w:szCs w:val="24"/>
          <w:lang w:bidi="ar-DZ"/>
        </w:rPr>
        <w:t>K</w:t>
      </w:r>
      <w:r>
        <w:rPr>
          <w:rFonts w:asciiTheme="majorBidi" w:hAnsiTheme="majorBidi" w:cstheme="majorBidi"/>
          <w:b/>
          <w:bCs/>
          <w:position w:val="-28"/>
          <w:sz w:val="24"/>
          <w:szCs w:val="24"/>
          <w:vertAlign w:val="subscript"/>
          <w:lang w:bidi="ar-DZ"/>
        </w:rPr>
        <w:t>G</w:t>
      </w:r>
      <w:r>
        <w:rPr>
          <w:rFonts w:asciiTheme="majorBidi" w:hAnsiTheme="majorBidi" w:cstheme="majorBidi"/>
          <w:b/>
          <w:bCs/>
          <w:position w:val="-28"/>
          <w:sz w:val="24"/>
          <w:szCs w:val="24"/>
          <w:lang w:bidi="ar-DZ"/>
        </w:rPr>
        <w:t xml:space="preserve"> </w:t>
      </w:r>
      <w:r>
        <w:rPr>
          <w:rFonts w:asciiTheme="majorBidi" w:hAnsiTheme="majorBidi" w:cstheme="majorBidi"/>
          <w:position w:val="-28"/>
          <w:sz w:val="24"/>
          <w:szCs w:val="24"/>
          <w:lang w:bidi="ar-DZ"/>
        </w:rPr>
        <w:t>=0,28. P/√A</w:t>
      </w:r>
    </w:p>
    <w:p>
      <w:pPr>
        <w:spacing w:after="0" w:line="360" w:lineRule="auto"/>
        <w:jc w:val="both"/>
        <w:rPr>
          <w:rFonts w:asciiTheme="majorBidi" w:hAnsiTheme="majorBidi" w:cstheme="majorBidi"/>
          <w:sz w:val="24"/>
          <w:szCs w:val="24"/>
          <w:lang w:bidi="ar-DZ"/>
        </w:rPr>
      </w:pPr>
      <w:r>
        <w:rPr>
          <w:rFonts w:asciiTheme="majorBidi" w:hAnsiTheme="majorBidi" w:cstheme="majorBidi"/>
          <w:b/>
          <w:bCs/>
          <w:sz w:val="24"/>
          <w:szCs w:val="24"/>
          <w:lang w:bidi="ar-DZ"/>
        </w:rPr>
        <w:t xml:space="preserve">P: </w:t>
      </w:r>
      <w:r>
        <w:rPr>
          <w:rFonts w:asciiTheme="majorBidi" w:hAnsiTheme="majorBidi" w:cstheme="majorBidi"/>
          <w:sz w:val="24"/>
          <w:szCs w:val="24"/>
          <w:lang w:bidi="ar-DZ"/>
        </w:rPr>
        <w:t>Périmètre du bassin versant =  74.5Km</w:t>
      </w:r>
    </w:p>
    <w:p>
      <w:pPr>
        <w:spacing w:after="0" w:line="360" w:lineRule="auto"/>
        <w:jc w:val="both"/>
        <w:rPr>
          <w:rFonts w:asciiTheme="majorBidi" w:hAnsiTheme="majorBidi" w:cstheme="majorBidi"/>
          <w:sz w:val="24"/>
          <w:szCs w:val="24"/>
          <w:lang w:bidi="ar-DZ"/>
        </w:rPr>
      </w:pPr>
      <w:r>
        <w:rPr>
          <w:rFonts w:asciiTheme="majorBidi" w:hAnsiTheme="majorBidi" w:cstheme="majorBidi"/>
          <w:b/>
          <w:bCs/>
          <w:sz w:val="24"/>
          <w:szCs w:val="24"/>
          <w:lang w:bidi="ar-DZ"/>
        </w:rPr>
        <w:t>S:</w:t>
      </w:r>
      <w:r>
        <w:rPr>
          <w:rFonts w:asciiTheme="majorBidi" w:hAnsiTheme="majorBidi" w:cstheme="majorBidi"/>
          <w:sz w:val="24"/>
          <w:szCs w:val="24"/>
          <w:lang w:bidi="ar-DZ"/>
        </w:rPr>
        <w:t xml:space="preserve"> Surface du bassin versant = 298 Km</w:t>
      </w:r>
      <w:r>
        <w:rPr>
          <w:rFonts w:asciiTheme="majorBidi" w:hAnsiTheme="majorBidi" w:cstheme="majorBidi"/>
          <w:sz w:val="24"/>
          <w:szCs w:val="24"/>
          <w:vertAlign w:val="superscript"/>
          <w:lang w:bidi="ar-DZ"/>
        </w:rPr>
        <w:t>2</w:t>
      </w:r>
      <w:r>
        <w:rPr>
          <w:rFonts w:asciiTheme="majorBidi" w:hAnsiTheme="majorBidi" w:cstheme="majorBidi"/>
          <w:sz w:val="24"/>
          <w:szCs w:val="24"/>
          <w:lang w:bidi="ar-DZ"/>
        </w:rPr>
        <w:t>.</w:t>
      </w:r>
    </w:p>
    <w:p>
      <w:pPr>
        <w:spacing w:after="0" w:line="360" w:lineRule="auto"/>
        <w:jc w:val="both"/>
        <w:rPr>
          <w:rFonts w:asciiTheme="majorBidi" w:hAnsiTheme="majorBidi" w:cstheme="majorBidi"/>
          <w:b/>
          <w:bCs/>
          <w:sz w:val="24"/>
          <w:szCs w:val="24"/>
          <w:lang w:bidi="ar-DZ"/>
        </w:rPr>
      </w:pPr>
      <w:r>
        <w:rPr>
          <w:rFonts w:asciiTheme="majorBidi" w:hAnsiTheme="majorBidi" w:cstheme="majorBidi"/>
          <w:b/>
          <w:bCs/>
          <w:sz w:val="24"/>
          <w:szCs w:val="24"/>
          <w:lang w:bidi="ar-DZ"/>
        </w:rPr>
        <w:t>Application numérique:</w:t>
      </w:r>
    </w:p>
    <w:p>
      <w:pPr>
        <w:spacing w:after="0" w:line="360" w:lineRule="auto"/>
        <w:jc w:val="both"/>
        <w:rPr>
          <w:rFonts w:asciiTheme="majorBidi" w:hAnsiTheme="majorBidi" w:cstheme="majorBidi"/>
          <w:sz w:val="24"/>
          <w:szCs w:val="24"/>
          <w:lang w:bidi="ar-DZ"/>
        </w:rPr>
      </w:pPr>
      <w:r>
        <w:rPr>
          <w:rFonts w:asciiTheme="majorBidi" w:hAnsiTheme="majorBidi" w:cstheme="majorBidi"/>
          <w:b/>
          <w:bCs/>
          <w:sz w:val="24"/>
          <w:szCs w:val="24"/>
          <w:lang w:bidi="ar-DZ"/>
        </w:rPr>
        <w:t>K</w:t>
      </w:r>
      <w:r>
        <w:rPr>
          <w:rFonts w:asciiTheme="majorBidi" w:hAnsiTheme="majorBidi" w:cstheme="majorBidi"/>
          <w:b/>
          <w:bCs/>
          <w:sz w:val="24"/>
          <w:szCs w:val="24"/>
          <w:vertAlign w:val="subscript"/>
          <w:lang w:bidi="ar-DZ"/>
        </w:rPr>
        <w:t>G</w:t>
      </w:r>
      <w:r>
        <w:rPr>
          <w:rFonts w:asciiTheme="majorBidi" w:hAnsiTheme="majorBidi" w:cstheme="majorBidi"/>
          <w:sz w:val="24"/>
          <w:szCs w:val="24"/>
          <w:lang w:bidi="ar-DZ"/>
        </w:rPr>
        <w:t xml:space="preserve"> = 0,28*74.5 / √295</w:t>
      </w:r>
    </w:p>
    <w:p>
      <w:pPr>
        <w:spacing w:after="0" w:line="360" w:lineRule="auto"/>
        <w:jc w:val="both"/>
        <w:rPr>
          <w:rFonts w:asciiTheme="majorBidi" w:hAnsiTheme="majorBidi" w:cstheme="majorBidi"/>
          <w:b/>
          <w:bCs/>
          <w:sz w:val="24"/>
          <w:szCs w:val="24"/>
          <w:lang w:bidi="ar-DZ"/>
        </w:rPr>
      </w:pPr>
      <w:r>
        <w:rPr>
          <w:rFonts w:asciiTheme="majorBidi" w:hAnsiTheme="majorBidi" w:cstheme="majorBidi"/>
          <w:b/>
          <w:bCs/>
          <w:sz w:val="24"/>
          <w:szCs w:val="24"/>
          <w:lang w:bidi="ar-DZ"/>
        </w:rPr>
        <w:t>K</w:t>
      </w:r>
      <w:r>
        <w:rPr>
          <w:rFonts w:asciiTheme="majorBidi" w:hAnsiTheme="majorBidi" w:cstheme="majorBidi"/>
          <w:b/>
          <w:bCs/>
          <w:sz w:val="24"/>
          <w:szCs w:val="24"/>
          <w:vertAlign w:val="subscript"/>
          <w:lang w:bidi="ar-DZ"/>
        </w:rPr>
        <w:t>G</w:t>
      </w:r>
      <w:r>
        <w:rPr>
          <w:rFonts w:asciiTheme="majorBidi" w:hAnsiTheme="majorBidi" w:cstheme="majorBidi"/>
          <w:b/>
          <w:bCs/>
          <w:sz w:val="24"/>
          <w:szCs w:val="24"/>
          <w:lang w:bidi="ar-DZ"/>
        </w:rPr>
        <w:t xml:space="preserve">= </w:t>
      </w:r>
      <w:r>
        <w:rPr>
          <w:rFonts w:asciiTheme="majorBidi" w:hAnsiTheme="majorBidi" w:cstheme="majorBidi"/>
          <w:sz w:val="24"/>
          <w:szCs w:val="24"/>
          <w:lang w:bidi="ar-DZ"/>
        </w:rPr>
        <w:t>1.20.</w:t>
      </w:r>
    </w:p>
    <w:p>
      <w:pPr>
        <w:spacing w:after="0" w:line="360" w:lineRule="auto"/>
        <w:ind w:firstLine="284"/>
        <w:rPr>
          <w:rFonts w:asciiTheme="majorBidi" w:hAnsiTheme="majorBidi" w:cstheme="majorBidi"/>
          <w:sz w:val="24"/>
          <w:szCs w:val="24"/>
          <w:lang w:bidi="ar-DZ"/>
        </w:rPr>
      </w:pPr>
      <w:r>
        <w:rPr>
          <w:rFonts w:asciiTheme="majorBidi" w:hAnsiTheme="majorBidi" w:cstheme="majorBidi"/>
          <w:sz w:val="24"/>
          <w:szCs w:val="24"/>
          <w:lang w:bidi="ar-DZ"/>
        </w:rPr>
        <w:t>Pour un bassin circulaire, l’indice de compacité est égal à «1 » et croit d’autant plus que la compacité diminue.</w:t>
      </w:r>
    </w:p>
    <w:p>
      <w:pPr>
        <w:spacing w:after="0" w:line="360" w:lineRule="auto"/>
        <w:rPr>
          <w:rFonts w:asciiTheme="majorBidi" w:hAnsiTheme="majorBidi" w:cstheme="majorBidi"/>
          <w:sz w:val="24"/>
          <w:szCs w:val="24"/>
          <w:lang w:bidi="ar-DZ"/>
        </w:rPr>
      </w:pPr>
      <w:r>
        <w:rPr>
          <w:rFonts w:asciiTheme="majorBidi" w:hAnsiTheme="majorBidi" w:cstheme="majorBidi"/>
          <w:sz w:val="24"/>
          <w:szCs w:val="24"/>
          <w:lang w:bidi="ar-DZ"/>
        </w:rPr>
        <w:t>Plus cet indice sera proche de 1, plus le bassin aura une forme ramassée et plus le temps de concentration des eaux soit court.</w:t>
      </w:r>
    </w:p>
    <w:p>
      <w:pPr>
        <w:spacing w:after="0" w:line="360" w:lineRule="auto"/>
        <w:rPr>
          <w:rFonts w:asciiTheme="majorBidi" w:hAnsiTheme="majorBidi" w:cstheme="majorBidi"/>
          <w:sz w:val="24"/>
          <w:szCs w:val="24"/>
          <w:lang w:bidi="ar-DZ"/>
        </w:rPr>
      </w:pPr>
      <w:r>
        <w:rPr>
          <w:rFonts w:asciiTheme="majorBidi" w:hAnsiTheme="majorBidi" w:cstheme="majorBidi"/>
          <w:sz w:val="24"/>
          <w:szCs w:val="24"/>
          <w:lang w:bidi="ar-DZ"/>
        </w:rPr>
        <w:t>Pour notre cas, la forme du bassin est allongée vu que son coefficient de compacité est supérieur à « 1 » ceci témoigne de la prédominance de l’érosion régressive sur l’érosion latérale.</w:t>
      </w:r>
    </w:p>
    <w:p>
      <w:pPr>
        <w:pStyle w:val="10"/>
        <w:numPr>
          <w:ilvl w:val="1"/>
          <w:numId w:val="20"/>
        </w:numPr>
        <w:spacing w:after="0" w:line="360" w:lineRule="auto"/>
        <w:rPr>
          <w:rFonts w:asciiTheme="majorBidi" w:hAnsiTheme="majorBidi" w:cstheme="majorBidi"/>
          <w:b/>
          <w:bCs/>
          <w:sz w:val="24"/>
          <w:szCs w:val="24"/>
          <w:lang w:bidi="ar-DZ"/>
        </w:rPr>
      </w:pPr>
      <w:r>
        <w:rPr>
          <w:rFonts w:asciiTheme="majorBidi" w:hAnsiTheme="majorBidi" w:cstheme="majorBidi"/>
          <w:b/>
          <w:bCs/>
          <w:sz w:val="24"/>
          <w:szCs w:val="24"/>
          <w:lang w:bidi="ar-DZ"/>
        </w:rPr>
        <w:t xml:space="preserve"> Rectangle équivalent :</w:t>
      </w:r>
    </w:p>
    <w:p>
      <w:pPr>
        <w:spacing w:after="0" w:line="360" w:lineRule="auto"/>
        <w:ind w:firstLine="284"/>
        <w:jc w:val="both"/>
        <w:rPr>
          <w:rFonts w:asciiTheme="majorBidi" w:hAnsiTheme="majorBidi" w:cstheme="majorBidi"/>
          <w:sz w:val="24"/>
          <w:szCs w:val="24"/>
          <w:lang w:bidi="ar-DZ"/>
        </w:rPr>
      </w:pPr>
      <w:r>
        <w:rPr>
          <w:rFonts w:asciiTheme="majorBidi" w:hAnsiTheme="majorBidi" w:cstheme="majorBidi"/>
          <w:sz w:val="24"/>
          <w:szCs w:val="24"/>
          <w:lang w:bidi="ar-DZ"/>
        </w:rPr>
        <w:t xml:space="preserve"> La notion de rectangle équivalent a été introduite afin de pouvoir faire la corrélation entre les bassins versants du point de vue de leurs influences sur l'écoulement.</w:t>
      </w:r>
    </w:p>
    <w:p>
      <w:pPr>
        <w:spacing w:after="0" w:line="360" w:lineRule="auto"/>
        <w:ind w:firstLine="284"/>
        <w:jc w:val="both"/>
        <w:rPr>
          <w:rFonts w:asciiTheme="majorBidi" w:hAnsiTheme="majorBidi" w:cstheme="majorBidi"/>
          <w:sz w:val="24"/>
          <w:szCs w:val="24"/>
          <w:lang w:bidi="ar-DZ"/>
        </w:rPr>
      </w:pPr>
      <w:r>
        <w:rPr>
          <w:rFonts w:asciiTheme="majorBidi" w:hAnsiTheme="majorBidi" w:cstheme="majorBidi"/>
          <w:sz w:val="24"/>
          <w:szCs w:val="24"/>
          <w:lang w:bidi="ar-DZ"/>
        </w:rPr>
        <w:t>On suppose que l'écoulement sur un bassin versant est approximativement le même à condition climatologique identique que sur un rectangle de même superficie ayant le même coefficient de forme et la même répartition hypsométrique. Le contour du bassin versant devient le périmètre du rectangle, les courbes de niveau des parallèles au petit côté du rectangle et l'exutoire un point du petit côté.</w:t>
      </w:r>
    </w:p>
    <w:p>
      <w:pPr>
        <w:spacing w:after="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Si L et l représentent respectivement la longueur et la largeur du rectangle équivalent, </w:t>
      </w:r>
    </w:p>
    <w:p>
      <w:pPr>
        <w:spacing w:after="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Alors : </w:t>
      </w:r>
    </w:p>
    <w:p>
      <w:pPr>
        <w:spacing w:after="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Le périmètre du rectangle équivalant vaut : P= 2(L+l)</w:t>
      </w:r>
    </w:p>
    <w:p>
      <w:pPr>
        <w:spacing w:after="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La surface : A = Ll </w:t>
      </w:r>
    </w:p>
    <w:p>
      <w:pPr>
        <w:spacing w:after="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Le coefficient de compacité : K</w:t>
      </w:r>
      <w:r>
        <w:rPr>
          <w:rFonts w:asciiTheme="majorBidi" w:hAnsiTheme="majorBidi" w:cstheme="majorBidi"/>
          <w:sz w:val="24"/>
          <w:szCs w:val="24"/>
          <w:vertAlign w:val="subscript"/>
          <w:lang w:bidi="ar-DZ"/>
        </w:rPr>
        <w:t>G</w:t>
      </w:r>
      <w:r>
        <w:rPr>
          <w:rFonts w:asciiTheme="majorBidi" w:hAnsiTheme="majorBidi" w:cstheme="majorBidi"/>
          <w:sz w:val="24"/>
          <w:szCs w:val="24"/>
          <w:lang w:bidi="ar-DZ"/>
        </w:rPr>
        <w:t xml:space="preserve">= 0.28P/√A </w:t>
      </w:r>
    </w:p>
    <w:p>
      <w:pPr>
        <w:spacing w:after="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En combinant ces trois relations, on obtient : </w:t>
      </w:r>
    </w:p>
    <w:p>
      <w:pPr>
        <w:spacing w:after="0" w:line="360" w:lineRule="auto"/>
        <w:jc w:val="both"/>
        <w:rPr>
          <w:rFonts w:asciiTheme="majorBidi" w:hAnsiTheme="majorBidi" w:cstheme="majorBidi"/>
          <w:sz w:val="24"/>
          <w:szCs w:val="24"/>
          <w:lang w:val="en-US" w:bidi="ar-DZ"/>
        </w:rPr>
      </w:pPr>
      <w:r>
        <w:rPr>
          <w:rFonts w:asciiTheme="majorBidi" w:hAnsiTheme="majorBidi" w:cstheme="majorBidi"/>
          <w:sz w:val="24"/>
          <w:szCs w:val="24"/>
          <w:lang w:val="en-US" w:bidi="ar-DZ"/>
        </w:rPr>
        <w:t>L = [K</w:t>
      </w:r>
      <w:r>
        <w:rPr>
          <w:rFonts w:asciiTheme="majorBidi" w:hAnsiTheme="majorBidi" w:cstheme="majorBidi"/>
          <w:sz w:val="24"/>
          <w:szCs w:val="24"/>
          <w:vertAlign w:val="subscript"/>
          <w:lang w:val="en-US" w:bidi="ar-DZ"/>
        </w:rPr>
        <w:t>G</w:t>
      </w:r>
      <w:r>
        <w:rPr>
          <w:rFonts w:asciiTheme="majorBidi" w:hAnsiTheme="majorBidi" w:cstheme="majorBidi"/>
          <w:sz w:val="24"/>
          <w:szCs w:val="24"/>
          <w:lang w:val="en-US" w:bidi="ar-DZ"/>
        </w:rPr>
        <w:t>. √ A / 1.12] x [1+ (1- (1.12/K</w:t>
      </w:r>
      <w:r>
        <w:rPr>
          <w:rFonts w:asciiTheme="majorBidi" w:hAnsiTheme="majorBidi" w:cstheme="majorBidi"/>
          <w:sz w:val="24"/>
          <w:szCs w:val="24"/>
          <w:vertAlign w:val="subscript"/>
          <w:lang w:val="en-US" w:bidi="ar-DZ"/>
        </w:rPr>
        <w:t>G</w:t>
      </w:r>
      <w:r>
        <w:rPr>
          <w:rFonts w:asciiTheme="majorBidi" w:hAnsiTheme="majorBidi" w:cstheme="majorBidi"/>
          <w:sz w:val="24"/>
          <w:szCs w:val="24"/>
          <w:lang w:val="en-US" w:bidi="ar-DZ"/>
        </w:rPr>
        <w:t xml:space="preserve">) </w:t>
      </w:r>
      <w:r>
        <w:rPr>
          <w:rFonts w:asciiTheme="majorBidi" w:hAnsiTheme="majorBidi" w:cstheme="majorBidi"/>
          <w:sz w:val="24"/>
          <w:szCs w:val="24"/>
          <w:vertAlign w:val="superscript"/>
          <w:lang w:val="en-US" w:bidi="ar-DZ"/>
        </w:rPr>
        <w:t>2</w:t>
      </w:r>
      <w:r>
        <w:rPr>
          <w:rFonts w:asciiTheme="majorBidi" w:hAnsiTheme="majorBidi" w:cstheme="majorBidi"/>
          <w:sz w:val="24"/>
          <w:szCs w:val="24"/>
          <w:lang w:val="en-US" w:bidi="ar-DZ"/>
        </w:rPr>
        <w:t>)</w:t>
      </w:r>
      <w:r>
        <w:rPr>
          <w:rFonts w:asciiTheme="majorBidi" w:hAnsiTheme="majorBidi" w:cstheme="majorBidi"/>
          <w:sz w:val="24"/>
          <w:szCs w:val="24"/>
          <w:vertAlign w:val="superscript"/>
          <w:lang w:val="en-US" w:bidi="ar-DZ"/>
        </w:rPr>
        <w:t>1/2</w:t>
      </w:r>
      <w:r>
        <w:rPr>
          <w:rFonts w:asciiTheme="majorBidi" w:hAnsiTheme="majorBidi" w:cstheme="majorBidi"/>
          <w:sz w:val="24"/>
          <w:szCs w:val="24"/>
          <w:lang w:val="en-US" w:bidi="ar-DZ"/>
        </w:rPr>
        <w:t>]</w:t>
      </w:r>
    </w:p>
    <w:p>
      <w:pPr>
        <w:spacing w:after="0" w:line="360" w:lineRule="auto"/>
        <w:jc w:val="both"/>
        <w:rPr>
          <w:rFonts w:asciiTheme="majorBidi" w:hAnsiTheme="majorBidi" w:cstheme="majorBidi"/>
          <w:sz w:val="24"/>
          <w:szCs w:val="24"/>
          <w:lang w:val="en-US" w:bidi="ar-DZ"/>
        </w:rPr>
      </w:pPr>
      <w:r>
        <w:rPr>
          <w:rFonts w:asciiTheme="majorBidi" w:hAnsiTheme="majorBidi" w:cstheme="majorBidi"/>
          <w:sz w:val="24"/>
          <w:szCs w:val="24"/>
          <w:lang w:val="en-US" w:bidi="ar-DZ"/>
        </w:rPr>
        <w:t>l = [K</w:t>
      </w:r>
      <w:r>
        <w:rPr>
          <w:rFonts w:asciiTheme="majorBidi" w:hAnsiTheme="majorBidi" w:cstheme="majorBidi"/>
          <w:sz w:val="24"/>
          <w:szCs w:val="24"/>
          <w:vertAlign w:val="subscript"/>
          <w:lang w:val="en-US" w:bidi="ar-DZ"/>
        </w:rPr>
        <w:t>G</w:t>
      </w:r>
      <w:r>
        <w:rPr>
          <w:rFonts w:asciiTheme="majorBidi" w:hAnsiTheme="majorBidi" w:cstheme="majorBidi"/>
          <w:sz w:val="24"/>
          <w:szCs w:val="24"/>
          <w:lang w:val="en-US" w:bidi="ar-DZ"/>
        </w:rPr>
        <w:t>. √A / 1.12] x [1-(1- (1.12/K</w:t>
      </w:r>
      <w:r>
        <w:rPr>
          <w:rFonts w:asciiTheme="majorBidi" w:hAnsiTheme="majorBidi" w:cstheme="majorBidi"/>
          <w:sz w:val="24"/>
          <w:szCs w:val="24"/>
          <w:vertAlign w:val="subscript"/>
          <w:lang w:val="en-US" w:bidi="ar-DZ"/>
        </w:rPr>
        <w:t>G</w:t>
      </w:r>
      <w:r>
        <w:rPr>
          <w:rFonts w:asciiTheme="majorBidi" w:hAnsiTheme="majorBidi" w:cstheme="majorBidi"/>
          <w:sz w:val="24"/>
          <w:szCs w:val="24"/>
          <w:lang w:val="en-US" w:bidi="ar-DZ"/>
        </w:rPr>
        <w:t xml:space="preserve">) </w:t>
      </w:r>
      <w:r>
        <w:rPr>
          <w:rFonts w:asciiTheme="majorBidi" w:hAnsiTheme="majorBidi" w:cstheme="majorBidi"/>
          <w:sz w:val="24"/>
          <w:szCs w:val="24"/>
          <w:vertAlign w:val="superscript"/>
          <w:lang w:val="en-US" w:bidi="ar-DZ"/>
        </w:rPr>
        <w:t>2</w:t>
      </w:r>
      <w:r>
        <w:rPr>
          <w:rFonts w:asciiTheme="majorBidi" w:hAnsiTheme="majorBidi" w:cstheme="majorBidi"/>
          <w:sz w:val="24"/>
          <w:szCs w:val="24"/>
          <w:lang w:val="en-US" w:bidi="ar-DZ"/>
        </w:rPr>
        <w:t>)</w:t>
      </w:r>
      <w:r>
        <w:rPr>
          <w:rFonts w:asciiTheme="majorBidi" w:hAnsiTheme="majorBidi" w:cstheme="majorBidi"/>
          <w:sz w:val="24"/>
          <w:szCs w:val="24"/>
          <w:vertAlign w:val="superscript"/>
          <w:lang w:val="en-US" w:bidi="ar-DZ"/>
        </w:rPr>
        <w:t>1/2</w:t>
      </w:r>
      <w:r>
        <w:rPr>
          <w:rFonts w:asciiTheme="majorBidi" w:hAnsiTheme="majorBidi" w:cstheme="majorBidi"/>
          <w:sz w:val="24"/>
          <w:szCs w:val="24"/>
          <w:lang w:val="en-US" w:bidi="ar-DZ"/>
        </w:rPr>
        <w:t>]</w:t>
      </w:r>
    </w:p>
    <w:p>
      <w:pPr>
        <w:spacing w:after="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L : La longueur du rectangle</w:t>
      </w:r>
    </w:p>
    <w:p>
      <w:pPr>
        <w:spacing w:after="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I : Largeur du rectangle</w:t>
      </w:r>
    </w:p>
    <w:p>
      <w:pPr>
        <w:spacing w:after="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P : Périmètre du bassin</w:t>
      </w:r>
    </w:p>
    <w:p>
      <w:pPr>
        <w:spacing w:after="0" w:line="360" w:lineRule="auto"/>
        <w:rPr>
          <w:rFonts w:asciiTheme="majorBidi" w:hAnsiTheme="majorBidi" w:cstheme="majorBidi"/>
          <w:sz w:val="24"/>
          <w:szCs w:val="24"/>
          <w:lang w:bidi="ar-DZ"/>
        </w:rPr>
      </w:pPr>
      <w:r>
        <w:rPr>
          <w:rFonts w:asciiTheme="majorBidi" w:hAnsiTheme="majorBidi" w:cstheme="majorBidi"/>
          <w:sz w:val="24"/>
          <w:szCs w:val="24"/>
          <w:lang w:bidi="ar-DZ"/>
        </w:rPr>
        <w:t>S : Surface du bassin</w:t>
      </w:r>
    </w:p>
    <w:p>
      <w:pPr>
        <w:spacing w:after="0" w:line="360" w:lineRule="auto"/>
        <w:rPr>
          <w:rFonts w:asciiTheme="majorBidi" w:hAnsiTheme="majorBidi" w:cstheme="majorBidi"/>
          <w:sz w:val="24"/>
          <w:szCs w:val="24"/>
          <w:lang w:bidi="ar-DZ"/>
        </w:rPr>
      </w:pPr>
      <w:r>
        <w:rPr>
          <w:rFonts w:asciiTheme="majorBidi" w:hAnsiTheme="majorBidi" w:cstheme="majorBidi"/>
          <w:sz w:val="24"/>
          <w:szCs w:val="24"/>
          <w:lang w:bidi="ar-DZ"/>
        </w:rPr>
        <w:t>Application numérique :</w:t>
      </w:r>
    </w:p>
    <w:p>
      <w:pPr>
        <w:spacing w:after="0" w:line="360" w:lineRule="auto"/>
        <w:rPr>
          <w:rFonts w:asciiTheme="majorBidi" w:hAnsiTheme="majorBidi" w:cstheme="majorBidi"/>
          <w:sz w:val="24"/>
          <w:szCs w:val="24"/>
          <w:lang w:bidi="ar-DZ"/>
        </w:rPr>
      </w:pPr>
      <w:r>
        <w:rPr>
          <w:rFonts w:asciiTheme="majorBidi" w:hAnsiTheme="majorBidi" w:cstheme="majorBidi"/>
          <w:sz w:val="24"/>
          <w:szCs w:val="24"/>
          <w:lang w:bidi="ar-DZ"/>
        </w:rPr>
        <w:t>L = 26.62Km</w:t>
      </w:r>
    </w:p>
    <w:p>
      <w:pPr>
        <w:spacing w:after="0" w:line="360" w:lineRule="auto"/>
        <w:rPr>
          <w:rFonts w:asciiTheme="majorBidi" w:hAnsiTheme="majorBidi" w:cstheme="majorBidi"/>
          <w:sz w:val="24"/>
          <w:szCs w:val="24"/>
          <w:lang w:bidi="ar-DZ"/>
        </w:rPr>
      </w:pPr>
      <w:r>
        <w:rPr>
          <w:rFonts w:asciiTheme="majorBidi" w:hAnsiTheme="majorBidi" w:cstheme="majorBidi"/>
          <w:sz w:val="24"/>
          <w:szCs w:val="24"/>
          <w:lang w:bidi="ar-DZ"/>
        </w:rPr>
        <w:t>l = 12.52Km</w:t>
      </w:r>
    </w:p>
    <w:p>
      <w:pPr>
        <w:spacing w:after="0" w:line="360" w:lineRule="auto"/>
        <w:rPr>
          <w:rFonts w:asciiTheme="majorBidi" w:hAnsiTheme="majorBidi" w:cstheme="majorBidi"/>
          <w:sz w:val="24"/>
          <w:szCs w:val="24"/>
          <w:lang w:bidi="ar-DZ"/>
        </w:rPr>
      </w:pPr>
    </w:p>
    <w:p>
      <w:pPr>
        <w:spacing w:after="0" w:line="360" w:lineRule="auto"/>
        <w:rPr>
          <w:rFonts w:asciiTheme="majorBidi" w:hAnsiTheme="majorBidi" w:cstheme="majorBidi"/>
          <w:sz w:val="24"/>
          <w:szCs w:val="24"/>
          <w:lang w:bidi="ar-DZ"/>
        </w:rPr>
      </w:pPr>
      <w:r>
        <w:rPr>
          <w:rFonts w:asciiTheme="majorBidi" w:hAnsiTheme="majorBidi" w:cstheme="majorBidi"/>
          <w:sz w:val="24"/>
          <w:szCs w:val="24"/>
          <w:lang w:eastAsia="fr-FR"/>
        </w:rPr>
        <w:drawing>
          <wp:inline distT="0" distB="0" distL="0" distR="0">
            <wp:extent cx="5343525" cy="3543300"/>
            <wp:effectExtent l="53975" t="53975" r="114300" b="111125"/>
            <wp:docPr id="22" name="Image 25" descr="C:\Users\belaribi med\Desktop\image\p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5" descr="C:\Users\belaribi med\Desktop\image\pop.PNG"/>
                    <pic:cNvPicPr>
                      <a:picLocks noChangeAspect="1" noChangeArrowheads="1"/>
                    </pic:cNvPicPr>
                  </pic:nvPicPr>
                  <pic:blipFill>
                    <a:blip r:embed="rId30"/>
                    <a:srcRect/>
                    <a:stretch>
                      <a:fillRect/>
                    </a:stretch>
                  </pic:blipFill>
                  <pic:spPr>
                    <a:xfrm>
                      <a:off x="0" y="0"/>
                      <a:ext cx="5343525" cy="35433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after="0" w:line="360" w:lineRule="auto"/>
        <w:jc w:val="center"/>
        <w:rPr>
          <w:rFonts w:asciiTheme="majorBidi" w:hAnsiTheme="majorBidi" w:cstheme="majorBidi"/>
          <w:sz w:val="24"/>
          <w:szCs w:val="24"/>
          <w:lang w:bidi="ar-DZ"/>
        </w:rPr>
      </w:pPr>
      <w:r>
        <w:rPr>
          <w:rFonts w:asciiTheme="majorBidi" w:hAnsiTheme="majorBidi" w:cstheme="majorBidi"/>
          <w:sz w:val="24"/>
          <w:szCs w:val="24"/>
          <w:lang w:bidi="ar-DZ"/>
        </w:rPr>
        <w:t>Fig n° 23 : Représentation graphique du rectangle équivalent.</w:t>
      </w:r>
    </w:p>
    <w:p>
      <w:pPr>
        <w:spacing w:after="0" w:line="360" w:lineRule="auto"/>
        <w:rPr>
          <w:rFonts w:asciiTheme="majorBidi" w:hAnsiTheme="majorBidi" w:cstheme="majorBidi"/>
          <w:b/>
          <w:bCs/>
          <w:sz w:val="24"/>
          <w:szCs w:val="24"/>
          <w:lang w:bidi="ar-DZ"/>
        </w:rPr>
      </w:pPr>
      <w:r>
        <w:rPr>
          <w:rFonts w:asciiTheme="majorBidi" w:hAnsiTheme="majorBidi" w:cstheme="majorBidi"/>
          <w:b/>
          <w:bCs/>
          <w:sz w:val="24"/>
          <w:szCs w:val="24"/>
          <w:lang w:bidi="ar-DZ"/>
        </w:rPr>
        <w:t>3. Étude du relief :</w:t>
      </w:r>
    </w:p>
    <w:p>
      <w:pPr>
        <w:spacing w:after="0" w:line="360" w:lineRule="auto"/>
        <w:ind w:firstLine="284"/>
        <w:rPr>
          <w:rFonts w:asciiTheme="majorBidi" w:hAnsiTheme="majorBidi" w:cstheme="majorBidi"/>
          <w:sz w:val="24"/>
          <w:szCs w:val="24"/>
          <w:lang w:bidi="ar-DZ"/>
        </w:rPr>
      </w:pPr>
      <w:r>
        <w:rPr>
          <w:rFonts w:asciiTheme="majorBidi" w:hAnsiTheme="majorBidi" w:cstheme="majorBidi"/>
          <w:sz w:val="24"/>
          <w:szCs w:val="24"/>
          <w:lang w:bidi="ar-DZ"/>
        </w:rPr>
        <w:t>Le relief joue un rôle important dans l’étude du ruissellement, de l’infiltration et de l’évaporation ainsi que dans l’estimation du transport solide.</w:t>
      </w:r>
    </w:p>
    <w:p>
      <w:pPr>
        <w:spacing w:after="0" w:line="360" w:lineRule="auto"/>
        <w:ind w:firstLine="284"/>
        <w:rPr>
          <w:rFonts w:asciiTheme="majorBidi" w:hAnsiTheme="majorBidi" w:cstheme="majorBidi"/>
          <w:sz w:val="24"/>
          <w:szCs w:val="24"/>
          <w:lang w:bidi="ar-DZ"/>
        </w:rPr>
      </w:pPr>
      <w:r>
        <w:rPr>
          <w:rFonts w:asciiTheme="majorBidi" w:hAnsiTheme="majorBidi" w:cstheme="majorBidi"/>
          <w:sz w:val="24"/>
          <w:szCs w:val="24"/>
          <w:lang w:bidi="ar-DZ"/>
        </w:rPr>
        <w:t>Le relief présente aussi une importance du point de vue de l’hydrologie du bassin, une pente plus forte provoque un écoulement plus rapide, donc un temps de concentration plus court et une montée plus rapide des crues.</w:t>
      </w:r>
    </w:p>
    <w:p>
      <w:pPr>
        <w:spacing w:after="0" w:line="360" w:lineRule="auto"/>
        <w:ind w:firstLine="284"/>
        <w:rPr>
          <w:rFonts w:asciiTheme="majorBidi" w:hAnsiTheme="majorBidi" w:cstheme="majorBidi"/>
          <w:sz w:val="24"/>
          <w:szCs w:val="24"/>
          <w:lang w:bidi="ar-DZ"/>
        </w:rPr>
      </w:pPr>
      <w:r>
        <w:rPr>
          <w:rFonts w:asciiTheme="majorBidi" w:hAnsiTheme="majorBidi" w:cstheme="majorBidi"/>
          <w:sz w:val="24"/>
          <w:szCs w:val="24"/>
          <w:lang w:bidi="ar-DZ"/>
        </w:rPr>
        <w:t>Sur les cartes, le relief est indiqué par les courbes de niveau joignant les points d’égale altitude. Il est souvent caractérisé par la courbe hypsométrique.</w:t>
      </w:r>
    </w:p>
    <w:p>
      <w:pPr>
        <w:spacing w:after="0" w:line="360" w:lineRule="auto"/>
        <w:rPr>
          <w:rFonts w:asciiTheme="majorBidi" w:hAnsiTheme="majorBidi" w:cstheme="majorBidi"/>
          <w:sz w:val="24"/>
          <w:szCs w:val="24"/>
          <w:lang w:bidi="ar-DZ"/>
        </w:rPr>
      </w:pPr>
      <w:r>
        <w:rPr>
          <w:rFonts w:asciiTheme="majorBidi" w:hAnsiTheme="majorBidi" w:cstheme="majorBidi"/>
          <w:b/>
          <w:bCs/>
          <w:sz w:val="24"/>
          <w:szCs w:val="24"/>
          <w:lang w:bidi="ar-DZ"/>
        </w:rPr>
        <w:t>3.1. Courbe hypsométrique :</w:t>
      </w:r>
    </w:p>
    <w:p>
      <w:pPr>
        <w:spacing w:after="0" w:line="360" w:lineRule="auto"/>
        <w:rPr>
          <w:rFonts w:asciiTheme="majorBidi" w:hAnsiTheme="majorBidi" w:cstheme="majorBidi"/>
          <w:sz w:val="24"/>
          <w:szCs w:val="24"/>
          <w:lang w:bidi="ar-DZ"/>
        </w:rPr>
      </w:pPr>
      <w:r>
        <w:rPr>
          <w:rFonts w:asciiTheme="majorBidi" w:hAnsiTheme="majorBidi" w:cstheme="majorBidi"/>
          <w:sz w:val="24"/>
          <w:szCs w:val="24"/>
          <w:lang w:bidi="ar-DZ"/>
        </w:rPr>
        <w:t>Pour construire la courbe hypsométrique du bassin, on porte sur deux axes de coordonnées :</w:t>
      </w:r>
    </w:p>
    <w:p>
      <w:pPr>
        <w:pStyle w:val="10"/>
        <w:numPr>
          <w:ilvl w:val="0"/>
          <w:numId w:val="21"/>
        </w:numPr>
        <w:spacing w:after="0" w:line="360" w:lineRule="auto"/>
        <w:ind w:firstLine="0"/>
        <w:rPr>
          <w:rFonts w:asciiTheme="majorBidi" w:hAnsiTheme="majorBidi" w:cstheme="majorBidi"/>
          <w:sz w:val="24"/>
          <w:szCs w:val="24"/>
          <w:lang w:bidi="ar-DZ"/>
        </w:rPr>
      </w:pPr>
      <w:r>
        <w:rPr>
          <w:rFonts w:asciiTheme="majorBidi" w:hAnsiTheme="majorBidi" w:cstheme="majorBidi"/>
          <w:sz w:val="24"/>
          <w:szCs w:val="24"/>
          <w:lang w:bidi="ar-DZ"/>
        </w:rPr>
        <w:t>En abscisse, une altitude donnée.</w:t>
      </w:r>
    </w:p>
    <w:p>
      <w:pPr>
        <w:pStyle w:val="10"/>
        <w:numPr>
          <w:ilvl w:val="0"/>
          <w:numId w:val="21"/>
        </w:numPr>
        <w:spacing w:after="0" w:line="360" w:lineRule="auto"/>
        <w:ind w:firstLine="0"/>
        <w:rPr>
          <w:rFonts w:asciiTheme="majorBidi" w:hAnsiTheme="majorBidi" w:cstheme="majorBidi"/>
          <w:sz w:val="24"/>
          <w:szCs w:val="24"/>
          <w:lang w:bidi="ar-DZ"/>
        </w:rPr>
      </w:pPr>
      <w:r>
        <w:rPr>
          <w:rFonts w:asciiTheme="majorBidi" w:hAnsiTheme="majorBidi" w:cstheme="majorBidi"/>
          <w:sz w:val="24"/>
          <w:szCs w:val="24"/>
          <w:lang w:bidi="ar-DZ"/>
        </w:rPr>
        <w:t>En ordonnée, la surface partielle du bassin pour laquelle chaque point est à une côte au moins égale à cette altitude. La plus part des facteurs météorologiques et hydrologiques étant fonction de l’altitude, il est intéressent de calculer la répartition du bassin versant (en Km2 et en % de la superficie totale) par tranche d’altitude.</w:t>
      </w:r>
    </w:p>
    <w:p>
      <w:pPr>
        <w:spacing w:after="0" w:line="360" w:lineRule="auto"/>
        <w:rPr>
          <w:rFonts w:asciiTheme="majorBidi" w:hAnsiTheme="majorBidi" w:cstheme="majorBidi"/>
          <w:sz w:val="24"/>
          <w:szCs w:val="24"/>
          <w:lang w:bidi="ar-DZ"/>
        </w:rPr>
      </w:pPr>
      <w:r>
        <w:rPr>
          <w:rFonts w:asciiTheme="majorBidi" w:hAnsiTheme="majorBidi" w:cstheme="majorBidi"/>
          <w:sz w:val="24"/>
          <w:szCs w:val="24"/>
          <w:lang w:bidi="ar-DZ"/>
        </w:rPr>
        <w:t>À partir de la courbe hypsométrique on peut déterminer l’altitude moyenne du bassin.</w:t>
      </w:r>
    </w:p>
    <w:p>
      <w:pPr>
        <w:spacing w:after="0" w:line="360" w:lineRule="auto"/>
        <w:rPr>
          <w:rFonts w:asciiTheme="majorBidi" w:hAnsiTheme="majorBidi" w:cstheme="majorBidi"/>
          <w:sz w:val="24"/>
          <w:szCs w:val="24"/>
          <w:lang w:bidi="ar-DZ"/>
        </w:rPr>
      </w:pPr>
    </w:p>
    <w:p>
      <w:pPr>
        <w:spacing w:after="0" w:line="360" w:lineRule="auto"/>
        <w:rPr>
          <w:rFonts w:asciiTheme="majorBidi" w:hAnsiTheme="majorBidi" w:cstheme="majorBidi"/>
          <w:sz w:val="24"/>
          <w:szCs w:val="24"/>
          <w:lang w:bidi="ar-DZ"/>
        </w:rPr>
      </w:pPr>
    </w:p>
    <w:p>
      <w:pPr>
        <w:spacing w:after="0" w:line="360" w:lineRule="auto"/>
        <w:rPr>
          <w:rFonts w:asciiTheme="majorBidi" w:hAnsiTheme="majorBidi" w:cstheme="majorBidi"/>
          <w:sz w:val="24"/>
          <w:szCs w:val="24"/>
          <w:lang w:bidi="ar-DZ"/>
        </w:rPr>
      </w:pPr>
    </w:p>
    <w:p>
      <w:pPr>
        <w:spacing w:after="0" w:line="360" w:lineRule="auto"/>
        <w:jc w:val="center"/>
        <w:rPr>
          <w:rFonts w:asciiTheme="majorBidi" w:hAnsiTheme="majorBidi" w:cstheme="majorBidi"/>
          <w:sz w:val="24"/>
          <w:szCs w:val="24"/>
          <w:lang w:bidi="ar-DZ"/>
        </w:rPr>
      </w:pPr>
      <w:r>
        <w:rPr>
          <w:rFonts w:asciiTheme="majorBidi" w:hAnsiTheme="majorBidi" w:cstheme="majorBidi"/>
          <w:sz w:val="24"/>
          <w:szCs w:val="24"/>
          <w:lang w:bidi="ar-DZ"/>
        </w:rPr>
        <w:t>Tableau n°16 : Répartition hypsométrique du bassin versant.</w:t>
      </w:r>
    </w:p>
    <w:tbl>
      <w:tblPr>
        <w:tblStyle w:val="11"/>
        <w:tblW w:w="9288"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4"/>
        <w:gridCol w:w="1778"/>
        <w:gridCol w:w="1913"/>
        <w:gridCol w:w="2047"/>
        <w:gridCol w:w="2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trPr>
        <w:tc>
          <w:tcPr>
            <w:tcW w:w="934" w:type="dxa"/>
            <w:shd w:val="clear" w:color="auto" w:fill="00B0F0"/>
            <w:vAlign w:val="center"/>
          </w:tcPr>
          <w:p>
            <w:pPr>
              <w:spacing w:after="0" w:line="360" w:lineRule="auto"/>
              <w:jc w:val="center"/>
              <w:rPr>
                <w:rFonts w:asciiTheme="majorBidi" w:hAnsiTheme="majorBidi" w:cstheme="majorBidi"/>
                <w:sz w:val="24"/>
                <w:szCs w:val="24"/>
                <w:lang w:bidi="ar-DZ"/>
              </w:rPr>
            </w:pPr>
            <w:r>
              <w:rPr>
                <w:rFonts w:asciiTheme="majorBidi" w:hAnsiTheme="majorBidi" w:cstheme="majorBidi"/>
                <w:sz w:val="24"/>
                <w:szCs w:val="24"/>
                <w:lang w:bidi="ar-DZ"/>
              </w:rPr>
              <w:t>N°</w:t>
            </w:r>
          </w:p>
        </w:tc>
        <w:tc>
          <w:tcPr>
            <w:tcW w:w="1778" w:type="dxa"/>
            <w:shd w:val="clear" w:color="auto" w:fill="00B0F0"/>
            <w:vAlign w:val="center"/>
          </w:tcPr>
          <w:p>
            <w:pPr>
              <w:spacing w:after="0" w:line="360" w:lineRule="auto"/>
              <w:jc w:val="center"/>
              <w:rPr>
                <w:rFonts w:asciiTheme="majorBidi" w:hAnsiTheme="majorBidi" w:cstheme="majorBidi"/>
                <w:sz w:val="24"/>
                <w:szCs w:val="24"/>
                <w:lang w:bidi="ar-DZ"/>
              </w:rPr>
            </w:pPr>
            <w:r>
              <w:rPr>
                <w:rFonts w:asciiTheme="majorBidi" w:hAnsiTheme="majorBidi" w:cstheme="majorBidi"/>
                <w:sz w:val="24"/>
                <w:szCs w:val="24"/>
                <w:lang w:bidi="ar-DZ"/>
              </w:rPr>
              <w:t>Courbes de</w:t>
            </w:r>
          </w:p>
          <w:p>
            <w:pPr>
              <w:spacing w:after="0" w:line="360" w:lineRule="auto"/>
              <w:jc w:val="center"/>
              <w:rPr>
                <w:rFonts w:asciiTheme="majorBidi" w:hAnsiTheme="majorBidi" w:cstheme="majorBidi"/>
                <w:sz w:val="24"/>
                <w:szCs w:val="24"/>
                <w:lang w:bidi="ar-DZ"/>
              </w:rPr>
            </w:pPr>
            <w:r>
              <w:rPr>
                <w:rFonts w:asciiTheme="majorBidi" w:hAnsiTheme="majorBidi" w:cstheme="majorBidi"/>
                <w:sz w:val="24"/>
                <w:szCs w:val="24"/>
                <w:lang w:bidi="ar-DZ"/>
              </w:rPr>
              <w:t>niveau (m)</w:t>
            </w:r>
          </w:p>
        </w:tc>
        <w:tc>
          <w:tcPr>
            <w:tcW w:w="1913" w:type="dxa"/>
            <w:shd w:val="clear" w:color="auto" w:fill="00B0F0"/>
            <w:vAlign w:val="center"/>
          </w:tcPr>
          <w:p>
            <w:pPr>
              <w:spacing w:after="0" w:line="360" w:lineRule="auto"/>
              <w:jc w:val="center"/>
              <w:rPr>
                <w:rFonts w:asciiTheme="majorBidi" w:hAnsiTheme="majorBidi" w:cstheme="majorBidi"/>
                <w:sz w:val="24"/>
                <w:szCs w:val="24"/>
                <w:lang w:bidi="ar-DZ"/>
              </w:rPr>
            </w:pPr>
            <w:r>
              <w:rPr>
                <w:rFonts w:asciiTheme="majorBidi" w:hAnsiTheme="majorBidi" w:cstheme="majorBidi"/>
                <w:sz w:val="24"/>
                <w:szCs w:val="24"/>
                <w:lang w:bidi="ar-DZ"/>
              </w:rPr>
              <w:t>Surfaces</w:t>
            </w:r>
          </w:p>
          <w:p>
            <w:pPr>
              <w:spacing w:after="0" w:line="360" w:lineRule="auto"/>
              <w:jc w:val="center"/>
              <w:rPr>
                <w:rFonts w:asciiTheme="majorBidi" w:hAnsiTheme="majorBidi" w:cstheme="majorBidi"/>
                <w:sz w:val="24"/>
                <w:szCs w:val="24"/>
                <w:lang w:bidi="ar-DZ"/>
              </w:rPr>
            </w:pPr>
            <w:r>
              <w:rPr>
                <w:rFonts w:asciiTheme="majorBidi" w:hAnsiTheme="majorBidi" w:cstheme="majorBidi"/>
                <w:sz w:val="24"/>
                <w:szCs w:val="24"/>
                <w:lang w:bidi="ar-DZ"/>
              </w:rPr>
              <w:t>Si(Km</w:t>
            </w:r>
            <w:r>
              <w:rPr>
                <w:rFonts w:asciiTheme="majorBidi" w:hAnsiTheme="majorBidi" w:cstheme="majorBidi"/>
                <w:sz w:val="24"/>
                <w:szCs w:val="24"/>
                <w:vertAlign w:val="superscript"/>
                <w:lang w:bidi="ar-DZ"/>
              </w:rPr>
              <w:t>2</w:t>
            </w:r>
            <w:r>
              <w:rPr>
                <w:rFonts w:asciiTheme="majorBidi" w:hAnsiTheme="majorBidi" w:cstheme="majorBidi"/>
                <w:sz w:val="24"/>
                <w:szCs w:val="24"/>
                <w:lang w:bidi="ar-DZ"/>
              </w:rPr>
              <w:t>)</w:t>
            </w:r>
          </w:p>
        </w:tc>
        <w:tc>
          <w:tcPr>
            <w:tcW w:w="2047" w:type="dxa"/>
            <w:shd w:val="clear" w:color="auto" w:fill="00B0F0"/>
            <w:vAlign w:val="center"/>
          </w:tcPr>
          <w:p>
            <w:pPr>
              <w:spacing w:after="0" w:line="360" w:lineRule="auto"/>
              <w:jc w:val="center"/>
              <w:rPr>
                <w:rFonts w:asciiTheme="majorBidi" w:hAnsiTheme="majorBidi" w:cstheme="majorBidi"/>
                <w:sz w:val="24"/>
                <w:szCs w:val="24"/>
                <w:lang w:bidi="ar-DZ"/>
              </w:rPr>
            </w:pPr>
            <w:r>
              <w:rPr>
                <w:rFonts w:asciiTheme="majorBidi" w:hAnsiTheme="majorBidi" w:cstheme="majorBidi"/>
                <w:sz w:val="24"/>
                <w:szCs w:val="24"/>
                <w:lang w:bidi="ar-DZ"/>
              </w:rPr>
              <w:t>Surfaces Si</w:t>
            </w:r>
          </w:p>
          <w:p>
            <w:pPr>
              <w:spacing w:after="0" w:line="360" w:lineRule="auto"/>
              <w:jc w:val="center"/>
              <w:rPr>
                <w:rFonts w:asciiTheme="majorBidi" w:hAnsiTheme="majorBidi" w:cstheme="majorBidi"/>
                <w:sz w:val="24"/>
                <w:szCs w:val="24"/>
                <w:lang w:bidi="ar-DZ"/>
              </w:rPr>
            </w:pPr>
            <w:r>
              <w:rPr>
                <w:rFonts w:asciiTheme="majorBidi" w:hAnsiTheme="majorBidi" w:cstheme="majorBidi"/>
                <w:sz w:val="24"/>
                <w:szCs w:val="24"/>
                <w:lang w:bidi="ar-DZ"/>
              </w:rPr>
              <w:t>(%)</w:t>
            </w:r>
          </w:p>
        </w:tc>
        <w:tc>
          <w:tcPr>
            <w:tcW w:w="2616" w:type="dxa"/>
            <w:shd w:val="clear" w:color="auto" w:fill="00B0F0"/>
            <w:vAlign w:val="center"/>
          </w:tcPr>
          <w:p>
            <w:pPr>
              <w:spacing w:after="0" w:line="360" w:lineRule="auto"/>
              <w:jc w:val="center"/>
              <w:rPr>
                <w:rFonts w:asciiTheme="majorBidi" w:hAnsiTheme="majorBidi" w:cstheme="majorBidi"/>
                <w:sz w:val="24"/>
                <w:szCs w:val="24"/>
                <w:lang w:bidi="ar-DZ"/>
              </w:rPr>
            </w:pPr>
            <w:r>
              <w:rPr>
                <w:rFonts w:asciiTheme="majorBidi" w:hAnsiTheme="majorBidi" w:cstheme="majorBidi"/>
                <w:sz w:val="24"/>
                <w:szCs w:val="24"/>
                <w:lang w:bidi="ar-DZ"/>
              </w:rPr>
              <w:t>Surfaces cumulées</w:t>
            </w:r>
          </w:p>
          <w:p>
            <w:pPr>
              <w:spacing w:after="0" w:line="360" w:lineRule="auto"/>
              <w:jc w:val="center"/>
              <w:rPr>
                <w:rFonts w:asciiTheme="majorBidi" w:hAnsiTheme="majorBidi" w:cstheme="majorBidi"/>
                <w:sz w:val="24"/>
                <w:szCs w:val="24"/>
                <w:lang w:bidi="ar-DZ"/>
              </w:rPr>
            </w:pPr>
            <w:r>
              <w:rPr>
                <w:rFonts w:asciiTheme="majorBidi" w:hAnsiTheme="majorBidi" w:cstheme="majorBidi"/>
                <w:sz w:val="24"/>
                <w:szCs w:val="24"/>
                <w:lang w:bidi="ar-DZ"/>
              </w:rPr>
              <w:t>Si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934" w:type="dxa"/>
            <w:shd w:val="clear" w:color="auto" w:fill="00B0F0"/>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1</w:t>
            </w:r>
          </w:p>
        </w:tc>
        <w:tc>
          <w:tcPr>
            <w:tcW w:w="1778"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0-100</w:t>
            </w:r>
          </w:p>
        </w:tc>
        <w:tc>
          <w:tcPr>
            <w:tcW w:w="1913"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5</w:t>
            </w:r>
          </w:p>
        </w:tc>
        <w:tc>
          <w:tcPr>
            <w:tcW w:w="2047"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1.68</w:t>
            </w:r>
          </w:p>
        </w:tc>
        <w:tc>
          <w:tcPr>
            <w:tcW w:w="2616"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934" w:type="dxa"/>
            <w:shd w:val="clear" w:color="auto" w:fill="00B0F0"/>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2</w:t>
            </w:r>
          </w:p>
        </w:tc>
        <w:tc>
          <w:tcPr>
            <w:tcW w:w="1778"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100-200</w:t>
            </w:r>
          </w:p>
        </w:tc>
        <w:tc>
          <w:tcPr>
            <w:tcW w:w="1913"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16</w:t>
            </w:r>
          </w:p>
        </w:tc>
        <w:tc>
          <w:tcPr>
            <w:tcW w:w="2047"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5.39</w:t>
            </w:r>
          </w:p>
        </w:tc>
        <w:tc>
          <w:tcPr>
            <w:tcW w:w="2616"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934" w:type="dxa"/>
            <w:shd w:val="clear" w:color="auto" w:fill="00B0F0"/>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3</w:t>
            </w:r>
          </w:p>
        </w:tc>
        <w:tc>
          <w:tcPr>
            <w:tcW w:w="1778"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200-300</w:t>
            </w:r>
          </w:p>
        </w:tc>
        <w:tc>
          <w:tcPr>
            <w:tcW w:w="1913"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36</w:t>
            </w:r>
          </w:p>
        </w:tc>
        <w:tc>
          <w:tcPr>
            <w:tcW w:w="2047"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12.13</w:t>
            </w:r>
          </w:p>
        </w:tc>
        <w:tc>
          <w:tcPr>
            <w:tcW w:w="2616"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934" w:type="dxa"/>
            <w:shd w:val="clear" w:color="auto" w:fill="00B0F0"/>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4</w:t>
            </w:r>
          </w:p>
        </w:tc>
        <w:tc>
          <w:tcPr>
            <w:tcW w:w="1778"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300-400</w:t>
            </w:r>
          </w:p>
        </w:tc>
        <w:tc>
          <w:tcPr>
            <w:tcW w:w="1913"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105</w:t>
            </w:r>
          </w:p>
        </w:tc>
        <w:tc>
          <w:tcPr>
            <w:tcW w:w="2047"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35.38</w:t>
            </w:r>
          </w:p>
        </w:tc>
        <w:tc>
          <w:tcPr>
            <w:tcW w:w="2616"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54.58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934" w:type="dxa"/>
            <w:shd w:val="clear" w:color="auto" w:fill="00B0F0"/>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5</w:t>
            </w:r>
          </w:p>
        </w:tc>
        <w:tc>
          <w:tcPr>
            <w:tcW w:w="1778"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400-500</w:t>
            </w:r>
          </w:p>
        </w:tc>
        <w:tc>
          <w:tcPr>
            <w:tcW w:w="1913"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102</w:t>
            </w:r>
          </w:p>
        </w:tc>
        <w:tc>
          <w:tcPr>
            <w:tcW w:w="2047"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34.37</w:t>
            </w:r>
          </w:p>
        </w:tc>
        <w:tc>
          <w:tcPr>
            <w:tcW w:w="2616"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88.95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934" w:type="dxa"/>
            <w:shd w:val="clear" w:color="auto" w:fill="00B0F0"/>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6</w:t>
            </w:r>
          </w:p>
        </w:tc>
        <w:tc>
          <w:tcPr>
            <w:tcW w:w="1778"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500-600</w:t>
            </w:r>
          </w:p>
        </w:tc>
        <w:tc>
          <w:tcPr>
            <w:tcW w:w="1913"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28.75</w:t>
            </w:r>
          </w:p>
        </w:tc>
        <w:tc>
          <w:tcPr>
            <w:tcW w:w="2047"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9.69</w:t>
            </w:r>
          </w:p>
        </w:tc>
        <w:tc>
          <w:tcPr>
            <w:tcW w:w="2616"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98.64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934" w:type="dxa"/>
            <w:shd w:val="clear" w:color="auto" w:fill="00B0F0"/>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7</w:t>
            </w:r>
          </w:p>
        </w:tc>
        <w:tc>
          <w:tcPr>
            <w:tcW w:w="1778"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600-700</w:t>
            </w:r>
          </w:p>
        </w:tc>
        <w:tc>
          <w:tcPr>
            <w:tcW w:w="1913"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3.25</w:t>
            </w:r>
          </w:p>
        </w:tc>
        <w:tc>
          <w:tcPr>
            <w:tcW w:w="2047"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1.09</w:t>
            </w:r>
          </w:p>
        </w:tc>
        <w:tc>
          <w:tcPr>
            <w:tcW w:w="2616"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99.73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934" w:type="dxa"/>
            <w:shd w:val="clear" w:color="auto" w:fill="00B0F0"/>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8</w:t>
            </w:r>
          </w:p>
        </w:tc>
        <w:tc>
          <w:tcPr>
            <w:tcW w:w="1778"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700-800</w:t>
            </w:r>
          </w:p>
        </w:tc>
        <w:tc>
          <w:tcPr>
            <w:tcW w:w="1913"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0.75</w:t>
            </w:r>
          </w:p>
        </w:tc>
        <w:tc>
          <w:tcPr>
            <w:tcW w:w="2047"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0.25</w:t>
            </w:r>
          </w:p>
        </w:tc>
        <w:tc>
          <w:tcPr>
            <w:tcW w:w="2616"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99.98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934" w:type="dxa"/>
            <w:shd w:val="clear" w:color="auto" w:fill="00B0F0"/>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Total</w:t>
            </w:r>
          </w:p>
        </w:tc>
        <w:tc>
          <w:tcPr>
            <w:tcW w:w="1778"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w:t>
            </w:r>
          </w:p>
        </w:tc>
        <w:tc>
          <w:tcPr>
            <w:tcW w:w="1913"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296.75</w:t>
            </w:r>
          </w:p>
        </w:tc>
        <w:tc>
          <w:tcPr>
            <w:tcW w:w="2047"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99.98</w:t>
            </w:r>
          </w:p>
        </w:tc>
        <w:tc>
          <w:tcPr>
            <w:tcW w:w="2616" w:type="dxa"/>
            <w:vAlign w:val="center"/>
          </w:tcPr>
          <w:p>
            <w:pPr>
              <w:spacing w:after="0" w:line="240" w:lineRule="auto"/>
              <w:jc w:val="center"/>
              <w:rPr>
                <w:rFonts w:asciiTheme="majorBidi" w:hAnsiTheme="majorBidi" w:cstheme="majorBidi"/>
                <w:sz w:val="24"/>
                <w:szCs w:val="24"/>
                <w:lang w:bidi="ar-DZ"/>
              </w:rPr>
            </w:pPr>
            <w:r>
              <w:rPr>
                <w:rFonts w:asciiTheme="majorBidi" w:hAnsiTheme="majorBidi" w:cstheme="majorBidi"/>
                <w:sz w:val="24"/>
                <w:szCs w:val="24"/>
                <w:lang w:bidi="ar-DZ"/>
              </w:rPr>
              <w:t>99.98</w:t>
            </w:r>
          </w:p>
        </w:tc>
      </w:tr>
    </w:tbl>
    <w:p>
      <w:pPr>
        <w:spacing w:after="0" w:line="360" w:lineRule="auto"/>
        <w:jc w:val="both"/>
        <w:rPr>
          <w:rFonts w:asciiTheme="majorBidi" w:hAnsiTheme="majorBidi" w:cstheme="majorBidi"/>
          <w:sz w:val="24"/>
          <w:szCs w:val="24"/>
          <w:lang w:bidi="ar-DZ"/>
        </w:rPr>
      </w:pPr>
    </w:p>
    <w:p>
      <w:pPr>
        <w:spacing w:after="0" w:line="360" w:lineRule="auto"/>
        <w:ind w:firstLine="284"/>
        <w:rPr>
          <w:rFonts w:asciiTheme="majorBidi" w:hAnsiTheme="majorBidi" w:cstheme="majorBidi"/>
          <w:sz w:val="24"/>
          <w:szCs w:val="24"/>
          <w:lang w:bidi="ar-DZ"/>
        </w:rPr>
      </w:pPr>
      <w:r>
        <w:rPr>
          <w:rFonts w:asciiTheme="majorBidi" w:hAnsiTheme="majorBidi" w:cstheme="majorBidi"/>
          <w:sz w:val="24"/>
          <w:szCs w:val="24"/>
          <w:lang w:bidi="ar-DZ"/>
        </w:rPr>
        <w:t>À partir de ce tableau, nous pouvons tracer la courbe hypsométrique ou  nous avons choisi  des tranches d’altitude de 100 m.</w:t>
      </w:r>
    </w:p>
    <w:p>
      <w:pPr>
        <w:rPr>
          <w:rFonts w:asciiTheme="majorBidi" w:hAnsiTheme="majorBidi" w:cstheme="majorBidi"/>
          <w:sz w:val="24"/>
          <w:szCs w:val="24"/>
          <w:lang w:bidi="ar-DZ"/>
        </w:rPr>
      </w:pPr>
      <w:r>
        <w:rPr>
          <w:rFonts w:asciiTheme="majorBidi" w:hAnsiTheme="majorBidi" w:cstheme="majorBidi"/>
          <w:sz w:val="24"/>
          <w:szCs w:val="24"/>
          <w:lang w:eastAsia="fr-FR"/>
        </w:rPr>
        <w:drawing>
          <wp:inline distT="0" distB="0" distL="0" distR="0">
            <wp:extent cx="5495925" cy="4134485"/>
            <wp:effectExtent l="53975" t="53975" r="114300" b="11684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495925" cy="413448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ind w:firstLine="567"/>
        <w:jc w:val="center"/>
        <w:rPr>
          <w:rFonts w:asciiTheme="majorBidi" w:hAnsiTheme="majorBidi" w:cstheme="majorBidi"/>
          <w:sz w:val="24"/>
          <w:szCs w:val="24"/>
          <w:lang w:bidi="ar-DZ"/>
        </w:rPr>
      </w:pPr>
      <w:r>
        <w:rPr>
          <w:rFonts w:asciiTheme="majorBidi" w:hAnsiTheme="majorBidi" w:cstheme="majorBidi"/>
          <w:sz w:val="24"/>
          <w:szCs w:val="24"/>
          <w:lang w:bidi="ar-DZ"/>
        </w:rPr>
        <w:t>Fig n°24: Courbe hypsométrique de bassin versant de l’oued Kramis.</w:t>
      </w:r>
    </w:p>
    <w:p>
      <w:pPr>
        <w:ind w:firstLine="567"/>
        <w:jc w:val="center"/>
        <w:rPr>
          <w:rFonts w:asciiTheme="majorBidi" w:hAnsiTheme="majorBidi" w:cstheme="majorBidi"/>
          <w:sz w:val="24"/>
          <w:szCs w:val="24"/>
          <w:lang w:bidi="ar-DZ"/>
        </w:rPr>
      </w:pPr>
    </w:p>
    <w:p>
      <w:pPr>
        <w:ind w:firstLine="284"/>
        <w:rPr>
          <w:rFonts w:asciiTheme="majorBidi" w:hAnsiTheme="majorBidi" w:cstheme="majorBidi"/>
          <w:sz w:val="24"/>
          <w:szCs w:val="24"/>
          <w:lang w:bidi="ar-DZ"/>
        </w:rPr>
      </w:pPr>
      <w:r>
        <w:rPr>
          <w:rFonts w:asciiTheme="majorBidi" w:hAnsiTheme="majorBidi" w:cstheme="majorBidi"/>
          <w:sz w:val="24"/>
          <w:szCs w:val="24"/>
          <w:lang w:bidi="ar-DZ"/>
        </w:rPr>
        <w:t>De la, et à partir de la carte topographique, on peut tirer les altitudes caractéristiques.</w:t>
      </w:r>
    </w:p>
    <w:p>
      <w:pPr>
        <w:rPr>
          <w:rFonts w:asciiTheme="majorBidi" w:hAnsiTheme="majorBidi" w:cstheme="majorBidi"/>
          <w:sz w:val="24"/>
          <w:szCs w:val="24"/>
          <w:lang w:bidi="ar-DZ"/>
        </w:rPr>
      </w:pPr>
      <w:r>
        <w:rPr>
          <w:rFonts w:asciiTheme="majorBidi" w:hAnsiTheme="majorBidi" w:cstheme="majorBidi"/>
          <w:sz w:val="24"/>
          <w:szCs w:val="24"/>
          <w:lang w:bidi="ar-DZ"/>
        </w:rPr>
        <w:t xml:space="preserve"> L’altitude maximale = 750 m, elle correspond au plus haut point du bassin versant.</w:t>
      </w:r>
    </w:p>
    <w:p>
      <w:pPr>
        <w:rPr>
          <w:rFonts w:asciiTheme="majorBidi" w:hAnsiTheme="majorBidi" w:cstheme="majorBidi"/>
          <w:sz w:val="24"/>
          <w:szCs w:val="24"/>
          <w:lang w:bidi="ar-DZ"/>
        </w:rPr>
      </w:pPr>
      <w:r>
        <w:rPr>
          <w:rFonts w:asciiTheme="majorBidi" w:hAnsiTheme="majorBidi" w:cstheme="majorBidi"/>
          <w:sz w:val="24"/>
          <w:szCs w:val="24"/>
          <w:lang w:bidi="ar-DZ"/>
        </w:rPr>
        <w:t xml:space="preserve"> L’altitude minimale = 45 m, elle correspond au plus bas point du bassin versant.</w:t>
      </w:r>
    </w:p>
    <w:p>
      <w:pPr>
        <w:rPr>
          <w:rFonts w:asciiTheme="majorBidi" w:hAnsiTheme="majorBidi" w:cstheme="majorBidi"/>
          <w:sz w:val="24"/>
          <w:szCs w:val="24"/>
          <w:lang w:bidi="ar-DZ"/>
        </w:rPr>
      </w:pPr>
      <w:r>
        <w:rPr>
          <w:rFonts w:asciiTheme="majorBidi" w:hAnsiTheme="majorBidi" w:cstheme="majorBidi"/>
          <w:sz w:val="24"/>
          <w:szCs w:val="24"/>
          <w:lang w:bidi="ar-DZ"/>
        </w:rPr>
        <w:t xml:space="preserve"> L’altitude représentant 05% de la surface du bassin versant est:</w:t>
      </w:r>
    </w:p>
    <w:p>
      <w:pPr>
        <w:rPr>
          <w:rFonts w:asciiTheme="majorBidi" w:hAnsiTheme="majorBidi" w:cstheme="majorBidi"/>
          <w:sz w:val="24"/>
          <w:szCs w:val="24"/>
          <w:lang w:val="en-US" w:bidi="ar-DZ"/>
        </w:rPr>
      </w:pPr>
      <w:r>
        <w:rPr>
          <w:rFonts w:asciiTheme="majorBidi" w:hAnsiTheme="majorBidi" w:cstheme="majorBidi"/>
          <w:sz w:val="24"/>
          <w:szCs w:val="24"/>
          <w:lang w:val="en-US" w:bidi="ar-DZ"/>
        </w:rPr>
        <w:t>H</w:t>
      </w:r>
      <w:r>
        <w:rPr>
          <w:rFonts w:asciiTheme="majorBidi" w:hAnsiTheme="majorBidi" w:cstheme="majorBidi"/>
          <w:sz w:val="24"/>
          <w:szCs w:val="24"/>
          <w:vertAlign w:val="subscript"/>
          <w:lang w:val="en-US" w:bidi="ar-DZ"/>
        </w:rPr>
        <w:t>5%</w:t>
      </w:r>
      <w:r>
        <w:rPr>
          <w:rFonts w:asciiTheme="majorBidi" w:hAnsiTheme="majorBidi" w:cstheme="majorBidi"/>
          <w:sz w:val="24"/>
          <w:szCs w:val="24"/>
          <w:lang w:val="en-US" w:bidi="ar-DZ"/>
        </w:rPr>
        <w:t xml:space="preserve"> = (H</w:t>
      </w:r>
      <w:r>
        <w:rPr>
          <w:rFonts w:asciiTheme="majorBidi" w:hAnsiTheme="majorBidi" w:cstheme="majorBidi"/>
          <w:sz w:val="24"/>
          <w:szCs w:val="24"/>
          <w:vertAlign w:val="subscript"/>
          <w:lang w:val="en-US" w:bidi="ar-DZ"/>
        </w:rPr>
        <w:t>min</w:t>
      </w:r>
      <w:r>
        <w:rPr>
          <w:rFonts w:asciiTheme="majorBidi" w:hAnsiTheme="majorBidi" w:cstheme="majorBidi"/>
          <w:sz w:val="24"/>
          <w:szCs w:val="24"/>
          <w:lang w:val="en-US" w:bidi="ar-DZ"/>
        </w:rPr>
        <w:t>* 5) /100 + H</w:t>
      </w:r>
      <w:r>
        <w:rPr>
          <w:rFonts w:asciiTheme="majorBidi" w:hAnsiTheme="majorBidi" w:cstheme="majorBidi"/>
          <w:sz w:val="24"/>
          <w:szCs w:val="24"/>
          <w:vertAlign w:val="subscript"/>
          <w:lang w:val="en-US" w:bidi="ar-DZ"/>
        </w:rPr>
        <w:t>min</w:t>
      </w:r>
      <w:r>
        <w:rPr>
          <w:rFonts w:asciiTheme="majorBidi" w:hAnsiTheme="majorBidi" w:cstheme="majorBidi"/>
          <w:sz w:val="24"/>
          <w:szCs w:val="24"/>
          <w:lang w:val="en-US" w:bidi="ar-DZ"/>
        </w:rPr>
        <w:t>.</w:t>
      </w:r>
    </w:p>
    <w:p>
      <w:pPr>
        <w:rPr>
          <w:rFonts w:asciiTheme="majorBidi" w:hAnsiTheme="majorBidi" w:cstheme="majorBidi"/>
          <w:sz w:val="24"/>
          <w:szCs w:val="24"/>
          <w:lang w:val="en-US" w:bidi="ar-DZ"/>
        </w:rPr>
      </w:pPr>
      <w:r>
        <w:rPr>
          <w:rFonts w:asciiTheme="majorBidi" w:hAnsiTheme="majorBidi" w:cstheme="majorBidi"/>
          <w:sz w:val="24"/>
          <w:szCs w:val="24"/>
          <w:lang w:val="en-US" w:bidi="ar-DZ"/>
        </w:rPr>
        <w:t>H</w:t>
      </w:r>
      <w:r>
        <w:rPr>
          <w:rFonts w:asciiTheme="majorBidi" w:hAnsiTheme="majorBidi" w:cstheme="majorBidi"/>
          <w:sz w:val="24"/>
          <w:szCs w:val="24"/>
          <w:vertAlign w:val="subscript"/>
          <w:lang w:val="en-US" w:bidi="ar-DZ"/>
        </w:rPr>
        <w:t>5%</w:t>
      </w:r>
      <w:r>
        <w:rPr>
          <w:rFonts w:asciiTheme="majorBidi" w:hAnsiTheme="majorBidi" w:cstheme="majorBidi"/>
          <w:sz w:val="24"/>
          <w:szCs w:val="24"/>
          <w:lang w:val="en-US" w:bidi="ar-DZ"/>
        </w:rPr>
        <w:t xml:space="preserve"> = 77.5 m.</w:t>
      </w:r>
    </w:p>
    <w:p>
      <w:pPr>
        <w:rPr>
          <w:rFonts w:asciiTheme="majorBidi" w:hAnsiTheme="majorBidi" w:cstheme="majorBidi"/>
          <w:sz w:val="24"/>
          <w:szCs w:val="24"/>
          <w:lang w:bidi="ar-DZ"/>
        </w:rPr>
      </w:pPr>
      <w:r>
        <w:rPr>
          <w:rFonts w:asciiTheme="majorBidi" w:hAnsiTheme="majorBidi" w:cstheme="majorBidi"/>
          <w:sz w:val="24"/>
          <w:szCs w:val="24"/>
          <w:lang w:bidi="ar-DZ"/>
        </w:rPr>
        <w:t>L’altitude représentant 95% de la surface du bassin versant est:</w:t>
      </w:r>
    </w:p>
    <w:p>
      <w:pPr>
        <w:rPr>
          <w:rFonts w:asciiTheme="majorBidi" w:hAnsiTheme="majorBidi" w:cstheme="majorBidi"/>
          <w:sz w:val="24"/>
          <w:szCs w:val="24"/>
          <w:lang w:bidi="ar-DZ"/>
        </w:rPr>
      </w:pPr>
      <w:r>
        <w:rPr>
          <w:rFonts w:asciiTheme="majorBidi" w:hAnsiTheme="majorBidi" w:cstheme="majorBidi"/>
          <w:sz w:val="24"/>
          <w:szCs w:val="24"/>
          <w:lang w:bidi="ar-DZ"/>
        </w:rPr>
        <w:t>H</w:t>
      </w:r>
      <w:r>
        <w:rPr>
          <w:rFonts w:asciiTheme="majorBidi" w:hAnsiTheme="majorBidi" w:cstheme="majorBidi"/>
          <w:sz w:val="24"/>
          <w:szCs w:val="24"/>
          <w:vertAlign w:val="subscript"/>
          <w:lang w:bidi="ar-DZ"/>
        </w:rPr>
        <w:t>95%</w:t>
      </w:r>
      <w:r>
        <w:rPr>
          <w:rFonts w:asciiTheme="majorBidi" w:hAnsiTheme="majorBidi" w:cstheme="majorBidi"/>
          <w:sz w:val="24"/>
          <w:szCs w:val="24"/>
          <w:lang w:bidi="ar-DZ"/>
        </w:rPr>
        <w:t xml:space="preserve"> = (H</w:t>
      </w:r>
      <w:r>
        <w:rPr>
          <w:rFonts w:asciiTheme="majorBidi" w:hAnsiTheme="majorBidi" w:cstheme="majorBidi"/>
          <w:sz w:val="24"/>
          <w:szCs w:val="24"/>
          <w:vertAlign w:val="subscript"/>
          <w:lang w:bidi="ar-DZ"/>
        </w:rPr>
        <w:t>max</w:t>
      </w:r>
      <w:r>
        <w:rPr>
          <w:rFonts w:asciiTheme="majorBidi" w:hAnsiTheme="majorBidi" w:cstheme="majorBidi"/>
          <w:sz w:val="24"/>
          <w:szCs w:val="24"/>
          <w:lang w:bidi="ar-DZ"/>
        </w:rPr>
        <w:t xml:space="preserve"> *95) /100.</w:t>
      </w:r>
    </w:p>
    <w:p>
      <w:pPr>
        <w:rPr>
          <w:rFonts w:asciiTheme="majorBidi" w:hAnsiTheme="majorBidi" w:cstheme="majorBidi"/>
          <w:sz w:val="24"/>
          <w:szCs w:val="24"/>
          <w:lang w:bidi="ar-DZ"/>
        </w:rPr>
      </w:pPr>
      <w:r>
        <w:rPr>
          <w:rFonts w:asciiTheme="majorBidi" w:hAnsiTheme="majorBidi" w:cstheme="majorBidi"/>
          <w:sz w:val="24"/>
          <w:szCs w:val="24"/>
          <w:lang w:bidi="ar-DZ"/>
        </w:rPr>
        <w:t>H</w:t>
      </w:r>
      <w:r>
        <w:rPr>
          <w:rFonts w:asciiTheme="majorBidi" w:hAnsiTheme="majorBidi" w:cstheme="majorBidi"/>
          <w:sz w:val="24"/>
          <w:szCs w:val="24"/>
          <w:vertAlign w:val="subscript"/>
          <w:lang w:bidi="ar-DZ"/>
        </w:rPr>
        <w:t>95%</w:t>
      </w:r>
      <w:r>
        <w:rPr>
          <w:rFonts w:asciiTheme="majorBidi" w:hAnsiTheme="majorBidi" w:cstheme="majorBidi"/>
          <w:sz w:val="24"/>
          <w:szCs w:val="24"/>
          <w:lang w:bidi="ar-DZ"/>
        </w:rPr>
        <w:t>=712.5 m</w:t>
      </w:r>
    </w:p>
    <w:p>
      <w:pPr>
        <w:rPr>
          <w:rFonts w:asciiTheme="majorBidi" w:hAnsiTheme="majorBidi" w:cstheme="majorBidi"/>
          <w:sz w:val="24"/>
          <w:szCs w:val="24"/>
          <w:lang w:bidi="ar-DZ"/>
        </w:rPr>
      </w:pPr>
      <w:r>
        <w:rPr>
          <w:rFonts w:asciiTheme="majorBidi" w:hAnsiTheme="majorBidi" w:cstheme="majorBidi"/>
          <w:sz w:val="24"/>
          <w:szCs w:val="24"/>
          <w:lang w:bidi="ar-DZ"/>
        </w:rPr>
        <w:t>Graphiquement :</w:t>
      </w:r>
    </w:p>
    <w:p>
      <w:pPr>
        <w:rPr>
          <w:rFonts w:asciiTheme="majorBidi" w:hAnsiTheme="majorBidi" w:cstheme="majorBidi"/>
          <w:sz w:val="24"/>
          <w:szCs w:val="24"/>
          <w:lang w:bidi="ar-DZ"/>
        </w:rPr>
      </w:pPr>
      <w:r>
        <w:rPr>
          <w:rFonts w:asciiTheme="majorBidi" w:hAnsiTheme="majorBidi" w:cstheme="majorBidi"/>
          <w:sz w:val="24"/>
          <w:szCs w:val="24"/>
          <w:lang w:bidi="ar-DZ"/>
        </w:rPr>
        <w:t>H</w:t>
      </w:r>
      <w:r>
        <w:rPr>
          <w:rFonts w:asciiTheme="majorBidi" w:hAnsiTheme="majorBidi" w:cstheme="majorBidi"/>
          <w:sz w:val="24"/>
          <w:szCs w:val="24"/>
          <w:vertAlign w:val="subscript"/>
          <w:lang w:bidi="ar-DZ"/>
        </w:rPr>
        <w:t>5%</w:t>
      </w:r>
      <w:r>
        <w:rPr>
          <w:rFonts w:asciiTheme="majorBidi" w:hAnsiTheme="majorBidi" w:cstheme="majorBidi"/>
          <w:sz w:val="24"/>
          <w:szCs w:val="24"/>
          <w:lang w:bidi="ar-DZ"/>
        </w:rPr>
        <w:t xml:space="preserve"> = 90 m.</w:t>
      </w:r>
    </w:p>
    <w:p>
      <w:pPr>
        <w:jc w:val="both"/>
        <w:rPr>
          <w:rFonts w:asciiTheme="majorBidi" w:hAnsiTheme="majorBidi" w:cstheme="majorBidi"/>
          <w:sz w:val="24"/>
          <w:szCs w:val="24"/>
          <w:lang w:bidi="ar-DZ"/>
        </w:rPr>
      </w:pPr>
      <w:r>
        <w:rPr>
          <w:rFonts w:asciiTheme="majorBidi" w:hAnsiTheme="majorBidi" w:cstheme="majorBidi"/>
          <w:sz w:val="24"/>
          <w:szCs w:val="24"/>
          <w:lang w:bidi="ar-DZ"/>
        </w:rPr>
        <w:t>H</w:t>
      </w:r>
      <w:r>
        <w:rPr>
          <w:rFonts w:asciiTheme="majorBidi" w:hAnsiTheme="majorBidi" w:cstheme="majorBidi"/>
          <w:sz w:val="24"/>
          <w:szCs w:val="24"/>
          <w:vertAlign w:val="subscript"/>
          <w:lang w:bidi="ar-DZ"/>
        </w:rPr>
        <w:t>95%</w:t>
      </w:r>
      <w:r>
        <w:rPr>
          <w:rFonts w:asciiTheme="majorBidi" w:hAnsiTheme="majorBidi" w:cstheme="majorBidi"/>
          <w:sz w:val="24"/>
          <w:szCs w:val="24"/>
          <w:lang w:bidi="ar-DZ"/>
        </w:rPr>
        <w:t>= 650 m.</w:t>
      </w:r>
    </w:p>
    <w:p>
      <w:pPr>
        <w:jc w:val="both"/>
        <w:rPr>
          <w:rFonts w:asciiTheme="majorBidi" w:hAnsiTheme="majorBidi" w:cstheme="majorBidi"/>
          <w:b/>
          <w:bCs/>
          <w:sz w:val="24"/>
          <w:szCs w:val="24"/>
          <w:lang w:bidi="ar-DZ"/>
        </w:rPr>
      </w:pPr>
      <w:r>
        <w:rPr>
          <w:rFonts w:asciiTheme="majorBidi" w:hAnsiTheme="majorBidi" w:cstheme="majorBidi"/>
          <w:b/>
          <w:bCs/>
          <w:sz w:val="24"/>
          <w:szCs w:val="24"/>
          <w:lang w:bidi="ar-DZ"/>
        </w:rPr>
        <w:t>3.2. Altitude médiane :</w:t>
      </w:r>
    </w:p>
    <w:p>
      <w:pPr>
        <w:ind w:firstLine="284"/>
        <w:jc w:val="both"/>
        <w:rPr>
          <w:rFonts w:asciiTheme="majorBidi" w:hAnsiTheme="majorBidi" w:cstheme="majorBidi"/>
          <w:sz w:val="24"/>
          <w:szCs w:val="24"/>
          <w:lang w:bidi="ar-DZ"/>
        </w:rPr>
      </w:pPr>
      <w:r>
        <w:rPr>
          <w:rFonts w:asciiTheme="majorBidi" w:hAnsiTheme="majorBidi" w:cstheme="majorBidi"/>
          <w:sz w:val="24"/>
          <w:szCs w:val="24"/>
          <w:lang w:bidi="ar-DZ"/>
        </w:rPr>
        <w:t>C’est l’altitude correspondant à 50% de surface dans la courbe hypsométrique, pour notre cas elle est de 340m, elle traduit une pente plus ou moins régulière.</w:t>
      </w:r>
    </w:p>
    <w:p>
      <w:pPr>
        <w:jc w:val="both"/>
        <w:rPr>
          <w:rFonts w:asciiTheme="majorBidi" w:hAnsiTheme="majorBidi" w:cstheme="majorBidi"/>
          <w:sz w:val="24"/>
          <w:szCs w:val="24"/>
          <w:lang w:bidi="ar-DZ"/>
        </w:rPr>
      </w:pPr>
      <w:r>
        <w:rPr>
          <w:rFonts w:asciiTheme="majorBidi" w:hAnsiTheme="majorBidi" w:cstheme="majorBidi"/>
          <w:b/>
          <w:bCs/>
          <w:sz w:val="24"/>
          <w:szCs w:val="24"/>
          <w:lang w:bidi="ar-DZ"/>
        </w:rPr>
        <w:t>3.3. L’indice de pente</w:t>
      </w:r>
      <w:r>
        <w:rPr>
          <w:rFonts w:asciiTheme="majorBidi" w:hAnsiTheme="majorBidi" w:cstheme="majorBidi"/>
          <w:sz w:val="24"/>
          <w:szCs w:val="24"/>
          <w:lang w:bidi="ar-DZ"/>
        </w:rPr>
        <w:t> :</w:t>
      </w:r>
    </w:p>
    <w:p>
      <w:pPr>
        <w:ind w:firstLine="284"/>
        <w:jc w:val="both"/>
        <w:rPr>
          <w:rFonts w:asciiTheme="majorBidi" w:hAnsiTheme="majorBidi" w:cstheme="majorBidi"/>
          <w:sz w:val="24"/>
          <w:szCs w:val="24"/>
          <w:lang w:bidi="ar-DZ"/>
        </w:rPr>
      </w:pPr>
      <w:r>
        <w:rPr>
          <w:rFonts w:asciiTheme="majorBidi" w:hAnsiTheme="majorBidi" w:cstheme="majorBidi"/>
          <w:sz w:val="24"/>
          <w:szCs w:val="24"/>
          <w:lang w:bidi="ar-DZ"/>
        </w:rPr>
        <w:t>La pente moyenne est une caractéristique importante dans le ruissellement. Elle donne une bonne indication sur le temps de parcours du ruissellement direct et sur le temps de concentration tc. Elle influence directement le débit de point lors d’une averse.</w:t>
      </w:r>
    </w:p>
    <w:p>
      <w:pPr>
        <w:ind w:firstLine="284"/>
        <w:jc w:val="both"/>
        <w:rPr>
          <w:rFonts w:asciiTheme="majorBidi" w:hAnsiTheme="majorBidi" w:cstheme="majorBidi"/>
          <w:sz w:val="24"/>
          <w:szCs w:val="24"/>
          <w:lang w:bidi="ar-DZ"/>
        </w:rPr>
      </w:pPr>
      <w:r>
        <w:rPr>
          <w:rFonts w:asciiTheme="majorBidi" w:hAnsiTheme="majorBidi" w:cstheme="majorBidi"/>
          <w:sz w:val="24"/>
          <w:szCs w:val="24"/>
          <w:lang w:bidi="ar-DZ"/>
        </w:rPr>
        <w:t>Dans notre cas d’étude l’indice de pente n’a pas été calculé par manque de matériels.</w:t>
      </w:r>
    </w:p>
    <w:p>
      <w:pPr>
        <w:jc w:val="both"/>
        <w:rPr>
          <w:rFonts w:asciiTheme="majorBidi" w:hAnsiTheme="majorBidi" w:cstheme="majorBidi"/>
          <w:sz w:val="24"/>
          <w:szCs w:val="24"/>
        </w:rPr>
      </w:pPr>
      <w:r>
        <w:rPr>
          <w:rFonts w:asciiTheme="majorBidi" w:hAnsiTheme="majorBidi" w:cstheme="majorBidi"/>
          <w:b/>
          <w:bCs/>
          <w:sz w:val="24"/>
          <w:szCs w:val="24"/>
        </w:rPr>
        <w:t>4. Organisation du réseau hydrographique :</w:t>
      </w:r>
    </w:p>
    <w:p>
      <w:pPr>
        <w:rPr>
          <w:rFonts w:asciiTheme="majorBidi" w:hAnsiTheme="majorBidi" w:cstheme="majorBidi"/>
          <w:sz w:val="24"/>
          <w:szCs w:val="24"/>
        </w:rPr>
      </w:pPr>
      <w:r>
        <w:rPr>
          <w:rFonts w:asciiTheme="majorBidi" w:hAnsiTheme="majorBidi" w:cstheme="majorBidi"/>
          <w:b/>
          <w:bCs/>
          <w:sz w:val="24"/>
          <w:szCs w:val="24"/>
        </w:rPr>
        <w:t>Horton</w:t>
      </w:r>
      <w:r>
        <w:rPr>
          <w:rFonts w:asciiTheme="majorBidi" w:hAnsiTheme="majorBidi" w:cstheme="majorBidi"/>
          <w:sz w:val="24"/>
          <w:szCs w:val="24"/>
        </w:rPr>
        <w:t xml:space="preserve"> donne des ordres à chaque type de cours d’eau qui ce caractérise par :</w:t>
      </w:r>
    </w:p>
    <w:p>
      <w:pPr>
        <w:pStyle w:val="10"/>
        <w:numPr>
          <w:ilvl w:val="0"/>
          <w:numId w:val="22"/>
        </w:numPr>
        <w:rPr>
          <w:rFonts w:asciiTheme="majorBidi" w:hAnsiTheme="majorBidi" w:cstheme="majorBidi"/>
          <w:sz w:val="24"/>
          <w:szCs w:val="24"/>
        </w:rPr>
      </w:pPr>
      <w:r>
        <w:rPr>
          <w:rFonts w:asciiTheme="majorBidi" w:hAnsiTheme="majorBidi" w:cstheme="majorBidi"/>
          <w:sz w:val="24"/>
          <w:szCs w:val="24"/>
        </w:rPr>
        <w:t>d’ordre 1 : cours d’eau élémentaire qui n’a pas encore d’affluent;</w:t>
      </w:r>
    </w:p>
    <w:p>
      <w:pPr>
        <w:pStyle w:val="10"/>
        <w:numPr>
          <w:ilvl w:val="0"/>
          <w:numId w:val="22"/>
        </w:numPr>
        <w:rPr>
          <w:rFonts w:asciiTheme="majorBidi" w:hAnsiTheme="majorBidi" w:cstheme="majorBidi"/>
          <w:sz w:val="24"/>
          <w:szCs w:val="24"/>
        </w:rPr>
      </w:pPr>
      <w:r>
        <w:rPr>
          <w:rFonts w:asciiTheme="majorBidi" w:hAnsiTheme="majorBidi" w:cstheme="majorBidi"/>
          <w:sz w:val="24"/>
          <w:szCs w:val="24"/>
        </w:rPr>
        <w:t>d’ordre 2 : cours d’eau ayant reçu au moins un affluent d’ordre1, donc deux cours d’eau d’ordre 1 donnent naissance à un cours d’eau d’ordre 2;</w:t>
      </w:r>
    </w:p>
    <w:p>
      <w:pPr>
        <w:pStyle w:val="10"/>
        <w:numPr>
          <w:ilvl w:val="0"/>
          <w:numId w:val="22"/>
        </w:numPr>
        <w:rPr>
          <w:rFonts w:asciiTheme="majorBidi" w:hAnsiTheme="majorBidi" w:cstheme="majorBidi"/>
          <w:sz w:val="24"/>
          <w:szCs w:val="24"/>
        </w:rPr>
      </w:pPr>
      <w:r>
        <w:rPr>
          <w:rFonts w:asciiTheme="majorBidi" w:hAnsiTheme="majorBidi" w:cstheme="majorBidi"/>
          <w:sz w:val="24"/>
          <w:szCs w:val="24"/>
        </w:rPr>
        <w:t xml:space="preserve"> d’ordre 3 : cours ayant reçu un cours d’eau d’ordre 2 tant qu’il n’a pas reçu lui-même un affluent d’ordre 3.</w:t>
      </w:r>
    </w:p>
    <w:p>
      <w:pPr>
        <w:jc w:val="both"/>
        <w:rPr>
          <w:rFonts w:asciiTheme="majorBidi" w:hAnsiTheme="majorBidi" w:cstheme="majorBidi"/>
          <w:b/>
          <w:bCs/>
          <w:sz w:val="28"/>
          <w:szCs w:val="28"/>
          <w:u w:val="single"/>
        </w:rPr>
      </w:pPr>
      <w:r>
        <w:rPr>
          <w:rFonts w:asciiTheme="majorBidi" w:hAnsiTheme="majorBidi" w:cstheme="majorBidi"/>
          <w:b/>
          <w:bCs/>
          <w:sz w:val="28"/>
          <w:szCs w:val="28"/>
          <w:lang w:eastAsia="fr-FR"/>
        </w:rPr>
        <w:drawing>
          <wp:inline distT="0" distB="0" distL="0" distR="0">
            <wp:extent cx="5934075" cy="3495675"/>
            <wp:effectExtent l="53975" t="53975" r="107950" b="10795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943719" cy="3501356"/>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jc w:val="center"/>
        <w:rPr>
          <w:rFonts w:asciiTheme="majorBidi" w:hAnsiTheme="majorBidi" w:cstheme="majorBidi"/>
          <w:sz w:val="24"/>
          <w:szCs w:val="24"/>
        </w:rPr>
      </w:pPr>
      <w:r>
        <w:rPr>
          <w:rFonts w:asciiTheme="majorBidi" w:hAnsiTheme="majorBidi" w:cstheme="majorBidi"/>
          <w:sz w:val="24"/>
          <w:szCs w:val="24"/>
        </w:rPr>
        <w:t>Fig n°25: Schéma explicatif de la notion de chevelu hydrographique.</w:t>
      </w:r>
    </w:p>
    <w:p>
      <w:pPr>
        <w:ind w:firstLine="284"/>
        <w:rPr>
          <w:rFonts w:asciiTheme="majorBidi" w:hAnsiTheme="majorBidi" w:cstheme="majorBidi"/>
          <w:sz w:val="24"/>
          <w:szCs w:val="24"/>
        </w:rPr>
      </w:pPr>
      <w:r>
        <w:rPr>
          <w:rFonts w:asciiTheme="majorBidi" w:hAnsiTheme="majorBidi" w:cstheme="majorBidi"/>
          <w:sz w:val="24"/>
          <w:szCs w:val="24"/>
        </w:rPr>
        <w:t>Le Schéma du chevelu hydrographique a été établi à partir d’une carte topographique à l’échelle 1/50.000ème. Stahler &amp; Shum ont établi une classification en ordre de talweg en 1954.</w:t>
      </w:r>
    </w:p>
    <w:p>
      <w:pPr>
        <w:rPr>
          <w:rFonts w:asciiTheme="majorBidi" w:hAnsiTheme="majorBidi" w:cstheme="majorBidi"/>
          <w:sz w:val="24"/>
          <w:szCs w:val="24"/>
        </w:rPr>
      </w:pPr>
      <w:r>
        <w:rPr>
          <w:rFonts w:asciiTheme="majorBidi" w:hAnsiTheme="majorBidi" w:cstheme="majorBidi"/>
          <w:sz w:val="24"/>
          <w:szCs w:val="24"/>
        </w:rPr>
        <w:t>Longueur des talweges (Km) :</w:t>
      </w:r>
    </w:p>
    <w:p>
      <w:pPr>
        <w:ind w:firstLine="284"/>
        <w:rPr>
          <w:rFonts w:asciiTheme="majorBidi" w:hAnsiTheme="majorBidi" w:cstheme="majorBidi"/>
          <w:sz w:val="24"/>
          <w:szCs w:val="24"/>
        </w:rPr>
      </w:pPr>
      <w:r>
        <w:rPr>
          <w:rFonts w:asciiTheme="majorBidi" w:hAnsiTheme="majorBidi" w:cstheme="majorBidi"/>
          <w:sz w:val="24"/>
          <w:szCs w:val="24"/>
        </w:rPr>
        <w:t>Pour notre bassin versant nous avons de l’ordre 1 jusqu’au 6 qui est le cours d’eau principal portant le nom du bassin (kramis).</w:t>
      </w:r>
    </w:p>
    <w:p>
      <w:pPr>
        <w:jc w:val="center"/>
        <w:rPr>
          <w:rFonts w:asciiTheme="majorBidi" w:hAnsiTheme="majorBidi" w:cstheme="majorBidi"/>
          <w:sz w:val="24"/>
          <w:szCs w:val="24"/>
        </w:rPr>
      </w:pPr>
      <w:r>
        <w:rPr>
          <w:rFonts w:asciiTheme="majorBidi" w:hAnsiTheme="majorBidi" w:cstheme="majorBidi"/>
          <w:sz w:val="24"/>
          <w:szCs w:val="24"/>
        </w:rPr>
        <w:t>Tableau n°17 : Classification des Oueds suivants les ordres et rapports caractéristiques.</w:t>
      </w:r>
    </w:p>
    <w:tbl>
      <w:tblPr>
        <w:tblStyle w:val="11"/>
        <w:tblW w:w="8789"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7"/>
        <w:gridCol w:w="2859"/>
        <w:gridCol w:w="3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2657"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Ordres</w:t>
            </w:r>
          </w:p>
        </w:tc>
        <w:tc>
          <w:tcPr>
            <w:tcW w:w="2859"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Nombre de</w:t>
            </w:r>
          </w:p>
          <w:p>
            <w:pPr>
              <w:spacing w:after="0" w:line="240" w:lineRule="auto"/>
              <w:jc w:val="center"/>
              <w:rPr>
                <w:rFonts w:asciiTheme="majorBidi" w:hAnsiTheme="majorBidi" w:cstheme="majorBidi"/>
                <w:sz w:val="24"/>
                <w:szCs w:val="24"/>
              </w:rPr>
            </w:pPr>
            <w:r>
              <w:rPr>
                <w:rFonts w:asciiTheme="majorBidi" w:hAnsiTheme="majorBidi" w:cstheme="majorBidi"/>
                <w:sz w:val="24"/>
                <w:szCs w:val="24"/>
              </w:rPr>
              <w:t>cours d’eau</w:t>
            </w:r>
          </w:p>
        </w:tc>
        <w:tc>
          <w:tcPr>
            <w:tcW w:w="3273"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Rapport de confluence</w:t>
            </w:r>
          </w:p>
          <w:p>
            <w:pPr>
              <w:spacing w:after="0" w:line="240" w:lineRule="auto"/>
              <w:jc w:val="center"/>
              <w:rPr>
                <w:rFonts w:asciiTheme="majorBidi" w:hAnsiTheme="majorBidi" w:cstheme="majorBidi"/>
                <w:sz w:val="24"/>
                <w:szCs w:val="24"/>
              </w:rPr>
            </w:pPr>
            <w:r>
              <w:rPr>
                <w:rFonts w:asciiTheme="majorBidi" w:hAnsiTheme="majorBidi" w:cstheme="majorBidi"/>
                <w:sz w:val="24"/>
                <w:szCs w:val="24"/>
              </w:rPr>
              <w:t>Ni/ (Ni+1)</w:t>
            </w:r>
          </w:p>
          <w:p>
            <w:pPr>
              <w:spacing w:after="0" w:line="240" w:lineRule="auto"/>
              <w:jc w:val="center"/>
              <w:rPr>
                <w:rFonts w:asciiTheme="majorBidi" w:hAnsiTheme="majorBidi" w:cstheme="majorBid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2657"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1</w:t>
            </w:r>
          </w:p>
        </w:tc>
        <w:tc>
          <w:tcPr>
            <w:tcW w:w="2859"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1569</w:t>
            </w:r>
          </w:p>
        </w:tc>
        <w:tc>
          <w:tcPr>
            <w:tcW w:w="3273"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57"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2</w:t>
            </w:r>
          </w:p>
        </w:tc>
        <w:tc>
          <w:tcPr>
            <w:tcW w:w="2859"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493</w:t>
            </w:r>
          </w:p>
        </w:tc>
        <w:tc>
          <w:tcPr>
            <w:tcW w:w="3273"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57"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3</w:t>
            </w:r>
          </w:p>
        </w:tc>
        <w:tc>
          <w:tcPr>
            <w:tcW w:w="2859"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168</w:t>
            </w:r>
          </w:p>
        </w:tc>
        <w:tc>
          <w:tcPr>
            <w:tcW w:w="3273"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57"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4</w:t>
            </w:r>
          </w:p>
        </w:tc>
        <w:tc>
          <w:tcPr>
            <w:tcW w:w="2859"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45</w:t>
            </w:r>
          </w:p>
        </w:tc>
        <w:tc>
          <w:tcPr>
            <w:tcW w:w="3273"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3.73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57"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5</w:t>
            </w:r>
          </w:p>
        </w:tc>
        <w:tc>
          <w:tcPr>
            <w:tcW w:w="2859"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5</w:t>
            </w:r>
          </w:p>
        </w:tc>
        <w:tc>
          <w:tcPr>
            <w:tcW w:w="3273"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57"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6</w:t>
            </w:r>
          </w:p>
        </w:tc>
        <w:tc>
          <w:tcPr>
            <w:tcW w:w="2859"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1</w:t>
            </w:r>
          </w:p>
        </w:tc>
        <w:tc>
          <w:tcPr>
            <w:tcW w:w="3273"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2657"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Total</w:t>
            </w:r>
          </w:p>
        </w:tc>
        <w:tc>
          <w:tcPr>
            <w:tcW w:w="2859"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2281</w:t>
            </w:r>
          </w:p>
        </w:tc>
        <w:tc>
          <w:tcPr>
            <w:tcW w:w="3273"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w:t>
            </w:r>
          </w:p>
        </w:tc>
      </w:tr>
    </w:tbl>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p>
    <w:p>
      <w:pPr>
        <w:rPr>
          <w:rFonts w:asciiTheme="majorBidi" w:hAnsiTheme="majorBidi" w:cstheme="majorBidi"/>
          <w:b/>
          <w:bCs/>
          <w:sz w:val="24"/>
          <w:szCs w:val="24"/>
        </w:rPr>
      </w:pPr>
      <w:r>
        <w:rPr>
          <w:rFonts w:asciiTheme="majorBidi" w:hAnsiTheme="majorBidi" w:cstheme="majorBidi"/>
          <w:b/>
          <w:bCs/>
          <w:sz w:val="24"/>
          <w:szCs w:val="24"/>
        </w:rPr>
        <w:t>5. Fréquence des cours d’eau :</w:t>
      </w:r>
    </w:p>
    <w:p>
      <w:pPr>
        <w:rPr>
          <w:rFonts w:asciiTheme="majorBidi" w:hAnsiTheme="majorBidi" w:cstheme="majorBidi"/>
          <w:sz w:val="24"/>
          <w:szCs w:val="24"/>
        </w:rPr>
      </w:pPr>
      <w:r>
        <w:rPr>
          <w:rFonts w:asciiTheme="majorBidi" w:hAnsiTheme="majorBidi" w:cstheme="majorBidi"/>
          <w:sz w:val="24"/>
          <w:szCs w:val="24"/>
        </w:rPr>
        <w:t>Elle représente le nombre de talwegs par unité de surface</w:t>
      </w:r>
    </w:p>
    <w:p>
      <w:pPr>
        <w:rPr>
          <w:rFonts w:asciiTheme="majorBidi" w:hAnsiTheme="majorBidi" w:cstheme="majorBidi"/>
          <w:b/>
          <w:bCs/>
          <w:sz w:val="24"/>
          <w:szCs w:val="24"/>
        </w:rPr>
      </w:pPr>
      <w:r>
        <w:rPr>
          <w:rFonts w:asciiTheme="majorBidi" w:hAnsiTheme="majorBidi" w:cstheme="majorBidi"/>
          <w:b/>
          <w:bCs/>
          <w:sz w:val="24"/>
          <w:szCs w:val="24"/>
        </w:rPr>
        <w:t>FS = N/A</w:t>
      </w:r>
    </w:p>
    <w:p>
      <w:pPr>
        <w:rPr>
          <w:rFonts w:asciiTheme="majorBidi" w:hAnsiTheme="majorBidi" w:cstheme="majorBidi"/>
          <w:sz w:val="24"/>
          <w:szCs w:val="24"/>
        </w:rPr>
      </w:pPr>
      <w:r>
        <w:rPr>
          <w:rFonts w:asciiTheme="majorBidi" w:hAnsiTheme="majorBidi" w:cstheme="majorBidi"/>
          <w:b/>
          <w:bCs/>
          <w:sz w:val="24"/>
          <w:szCs w:val="24"/>
        </w:rPr>
        <w:t>FS</w:t>
      </w:r>
      <w:r>
        <w:rPr>
          <w:rFonts w:asciiTheme="majorBidi" w:hAnsiTheme="majorBidi" w:cstheme="majorBidi"/>
          <w:sz w:val="24"/>
          <w:szCs w:val="24"/>
        </w:rPr>
        <w:t xml:space="preserve"> =2281 /298</w:t>
      </w:r>
    </w:p>
    <w:p>
      <w:pPr>
        <w:spacing w:after="0" w:line="360" w:lineRule="auto"/>
        <w:jc w:val="both"/>
        <w:rPr>
          <w:rFonts w:asciiTheme="majorBidi" w:hAnsiTheme="majorBidi" w:cstheme="majorBidi"/>
          <w:sz w:val="24"/>
          <w:szCs w:val="24"/>
        </w:rPr>
      </w:pPr>
      <w:r>
        <w:rPr>
          <w:rFonts w:asciiTheme="majorBidi" w:hAnsiTheme="majorBidi" w:cstheme="majorBidi"/>
          <w:b/>
          <w:bCs/>
          <w:sz w:val="24"/>
          <w:szCs w:val="24"/>
        </w:rPr>
        <w:t xml:space="preserve">FS </w:t>
      </w:r>
      <w:r>
        <w:rPr>
          <w:rFonts w:asciiTheme="majorBidi" w:hAnsiTheme="majorBidi" w:cstheme="majorBidi"/>
          <w:sz w:val="24"/>
          <w:szCs w:val="24"/>
        </w:rPr>
        <w:t>=  7.65~  8 cours d'eau/km</w:t>
      </w:r>
      <w:r>
        <w:rPr>
          <w:rFonts w:asciiTheme="majorBidi" w:hAnsiTheme="majorBidi" w:cstheme="majorBidi"/>
          <w:sz w:val="24"/>
          <w:szCs w:val="24"/>
          <w:vertAlign w:val="superscript"/>
        </w:rPr>
        <w:t>2</w:t>
      </w:r>
      <w:r>
        <w:rPr>
          <w:rFonts w:asciiTheme="majorBidi" w:hAnsiTheme="majorBidi" w:cstheme="majorBidi"/>
          <w:sz w:val="24"/>
          <w:szCs w:val="24"/>
        </w:rPr>
        <w:t>.</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6. Rapport de confluence :</w:t>
      </w:r>
    </w:p>
    <w:p>
      <w:pPr>
        <w:spacing w:after="0" w:line="360" w:lineRule="auto"/>
        <w:rPr>
          <w:rFonts w:asciiTheme="majorBidi" w:hAnsiTheme="majorBidi" w:cstheme="majorBidi"/>
          <w:sz w:val="24"/>
          <w:szCs w:val="24"/>
        </w:rPr>
      </w:pPr>
      <w:r>
        <w:rPr>
          <w:rFonts w:asciiTheme="majorBidi" w:hAnsiTheme="majorBidi" w:cstheme="majorBidi"/>
          <w:sz w:val="24"/>
          <w:szCs w:val="24"/>
        </w:rPr>
        <w:t>Le rapport de confluence noté RC est le Quotient du nombre de talwegs d’ordre (x) sur celui des talwegs d’ordre supérieur (x+1).</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RC = </w:t>
      </w:r>
      <w:r>
        <w:rPr>
          <w:rFonts w:asciiTheme="majorBidi" w:hAnsiTheme="majorBidi" w:cstheme="majorBidi"/>
          <w:sz w:val="24"/>
          <w:szCs w:val="24"/>
        </w:rPr>
        <w:t>NX / NX+1.</w:t>
      </w:r>
    </w:p>
    <w:p>
      <w:pPr>
        <w:tabs>
          <w:tab w:val="left" w:pos="2760"/>
        </w:tabs>
        <w:spacing w:after="0" w:line="360" w:lineRule="auto"/>
        <w:jc w:val="center"/>
        <w:rPr>
          <w:rFonts w:asciiTheme="majorBidi" w:hAnsiTheme="majorBidi" w:cstheme="majorBidi"/>
          <w:sz w:val="24"/>
          <w:szCs w:val="24"/>
        </w:rPr>
      </w:pPr>
      <w:r>
        <w:rPr>
          <w:rFonts w:asciiTheme="majorBidi" w:hAnsiTheme="majorBidi" w:cstheme="majorBidi"/>
          <w:sz w:val="24"/>
          <w:szCs w:val="24"/>
        </w:rPr>
        <w:t>Tableau n°18 : Rapport de confluence des talwegs.</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60"/>
        <w:gridCol w:w="3118"/>
        <w:gridCol w:w="2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3" w:hRule="atLeast"/>
        </w:trPr>
        <w:tc>
          <w:tcPr>
            <w:tcW w:w="2660"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Ordres</w:t>
            </w:r>
          </w:p>
        </w:tc>
        <w:tc>
          <w:tcPr>
            <w:tcW w:w="3118"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Nombre de</w:t>
            </w:r>
          </w:p>
          <w:p>
            <w:pPr>
              <w:spacing w:after="0" w:line="240" w:lineRule="auto"/>
              <w:jc w:val="center"/>
              <w:rPr>
                <w:rFonts w:asciiTheme="majorBidi" w:hAnsiTheme="majorBidi" w:cstheme="majorBidi"/>
                <w:sz w:val="24"/>
                <w:szCs w:val="24"/>
              </w:rPr>
            </w:pPr>
            <w:r>
              <w:rPr>
                <w:rFonts w:asciiTheme="majorBidi" w:hAnsiTheme="majorBidi" w:cstheme="majorBidi"/>
                <w:sz w:val="24"/>
                <w:szCs w:val="24"/>
              </w:rPr>
              <w:t>cours d’eau</w:t>
            </w:r>
          </w:p>
        </w:tc>
        <w:tc>
          <w:tcPr>
            <w:tcW w:w="2705"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Rapport confluence</w:t>
            </w:r>
          </w:p>
          <w:p>
            <w:pPr>
              <w:spacing w:after="0" w:line="240" w:lineRule="auto"/>
              <w:jc w:val="center"/>
              <w:rPr>
                <w:rFonts w:asciiTheme="majorBidi" w:hAnsiTheme="majorBidi" w:cstheme="majorBidi"/>
                <w:sz w:val="24"/>
                <w:szCs w:val="24"/>
              </w:rPr>
            </w:pPr>
            <w:r>
              <w:rPr>
                <w:rFonts w:asciiTheme="majorBidi" w:hAnsiTheme="majorBidi" w:cstheme="majorBidi"/>
                <w:sz w:val="24"/>
                <w:szCs w:val="24"/>
              </w:rPr>
              <w:t>Ni/ (Ni+1)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2660"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1</w:t>
            </w:r>
          </w:p>
        </w:tc>
        <w:tc>
          <w:tcPr>
            <w:tcW w:w="3118"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1569</w:t>
            </w:r>
          </w:p>
        </w:tc>
        <w:tc>
          <w:tcPr>
            <w:tcW w:w="2705"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60"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2</w:t>
            </w:r>
          </w:p>
        </w:tc>
        <w:tc>
          <w:tcPr>
            <w:tcW w:w="3118"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493</w:t>
            </w:r>
          </w:p>
        </w:tc>
        <w:tc>
          <w:tcPr>
            <w:tcW w:w="2705"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2660"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3</w:t>
            </w:r>
          </w:p>
        </w:tc>
        <w:tc>
          <w:tcPr>
            <w:tcW w:w="3118"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168</w:t>
            </w:r>
          </w:p>
        </w:tc>
        <w:tc>
          <w:tcPr>
            <w:tcW w:w="2705"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2660"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4</w:t>
            </w:r>
          </w:p>
        </w:tc>
        <w:tc>
          <w:tcPr>
            <w:tcW w:w="3118"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45</w:t>
            </w:r>
          </w:p>
        </w:tc>
        <w:tc>
          <w:tcPr>
            <w:tcW w:w="2705"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3.73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2660"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5</w:t>
            </w:r>
          </w:p>
        </w:tc>
        <w:tc>
          <w:tcPr>
            <w:tcW w:w="3118"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5</w:t>
            </w:r>
          </w:p>
        </w:tc>
        <w:tc>
          <w:tcPr>
            <w:tcW w:w="2705"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2660"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6</w:t>
            </w:r>
          </w:p>
        </w:tc>
        <w:tc>
          <w:tcPr>
            <w:tcW w:w="3118"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1</w:t>
            </w:r>
          </w:p>
        </w:tc>
        <w:tc>
          <w:tcPr>
            <w:tcW w:w="2705"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2660" w:type="dxa"/>
            <w:shd w:val="clear" w:color="auto" w:fill="00B0F0"/>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Total</w:t>
            </w:r>
          </w:p>
        </w:tc>
        <w:tc>
          <w:tcPr>
            <w:tcW w:w="3118"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2281</w:t>
            </w:r>
          </w:p>
        </w:tc>
        <w:tc>
          <w:tcPr>
            <w:tcW w:w="2705" w:type="dxa"/>
            <w:vAlign w:val="center"/>
          </w:tcPr>
          <w:p>
            <w:pPr>
              <w:spacing w:after="0" w:line="240" w:lineRule="auto"/>
              <w:jc w:val="center"/>
              <w:rPr>
                <w:rFonts w:asciiTheme="majorBidi" w:hAnsiTheme="majorBidi" w:cstheme="majorBidi"/>
                <w:sz w:val="24"/>
                <w:szCs w:val="24"/>
              </w:rPr>
            </w:pPr>
            <w:r>
              <w:rPr>
                <w:rFonts w:asciiTheme="majorBidi" w:hAnsiTheme="majorBidi" w:cstheme="majorBidi"/>
                <w:sz w:val="24"/>
                <w:szCs w:val="24"/>
              </w:rPr>
              <w:t>Moyenne : 4.76</w:t>
            </w:r>
          </w:p>
        </w:tc>
      </w:tr>
    </w:tbl>
    <w:p>
      <w:pPr>
        <w:spacing w:after="0" w:line="360" w:lineRule="auto"/>
        <w:jc w:val="both"/>
        <w:rPr>
          <w:rFonts w:asciiTheme="majorBidi" w:hAnsiTheme="majorBidi" w:cstheme="majorBidi"/>
          <w:b/>
          <w:bCs/>
          <w:sz w:val="24"/>
          <w:szCs w:val="24"/>
        </w:rPr>
      </w:pP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Rc =(3.18+2.93+3.73+9+5)/5</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Rc =4.76.</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Cette valeur ne peut pas être fiable car la précision de la valeur moyenne de la longueur des talwegs est en général réduite vu la difficulté d’estimer la mesure des talwegs d’ordre 1.</w:t>
      </w:r>
    </w:p>
    <w:p>
      <w:pPr>
        <w:spacing w:after="0" w:line="360" w:lineRule="auto"/>
        <w:rPr>
          <w:rFonts w:asciiTheme="majorBidi" w:hAnsiTheme="majorBidi" w:cstheme="majorBidi"/>
          <w:sz w:val="24"/>
          <w:szCs w:val="24"/>
        </w:rPr>
      </w:pPr>
      <w:r>
        <w:rPr>
          <w:rFonts w:asciiTheme="majorBidi" w:hAnsiTheme="majorBidi" w:cstheme="majorBidi"/>
          <w:sz w:val="24"/>
          <w:szCs w:val="24"/>
        </w:rPr>
        <w:t>Pour toutes ces raisons il est préférable d’estimer le rapport de confluence graphiquement sachant que ;</w:t>
      </w:r>
    </w:p>
    <w:p>
      <w:pPr>
        <w:pStyle w:val="10"/>
        <w:numPr>
          <w:ilvl w:val="0"/>
          <w:numId w:val="23"/>
        </w:numPr>
        <w:spacing w:after="0" w:line="360" w:lineRule="auto"/>
        <w:rPr>
          <w:rFonts w:asciiTheme="majorBidi" w:hAnsiTheme="majorBidi" w:cstheme="majorBidi"/>
          <w:sz w:val="24"/>
          <w:szCs w:val="24"/>
        </w:rPr>
      </w:pPr>
      <w:r>
        <w:rPr>
          <w:rFonts w:asciiTheme="majorBidi" w:hAnsiTheme="majorBidi" w:cstheme="majorBidi"/>
          <w:sz w:val="24"/>
          <w:szCs w:val="24"/>
        </w:rPr>
        <w:t>Le graphe se fait au papier Semi-logarithmique;</w:t>
      </w:r>
    </w:p>
    <w:p>
      <w:pPr>
        <w:pStyle w:val="10"/>
        <w:numPr>
          <w:ilvl w:val="0"/>
          <w:numId w:val="23"/>
        </w:numPr>
        <w:spacing w:after="0" w:line="360" w:lineRule="auto"/>
        <w:rPr>
          <w:rFonts w:asciiTheme="majorBidi" w:hAnsiTheme="majorBidi" w:cstheme="majorBidi"/>
          <w:sz w:val="24"/>
          <w:szCs w:val="24"/>
        </w:rPr>
      </w:pPr>
      <w:r>
        <w:rPr>
          <w:rFonts w:asciiTheme="majorBidi" w:hAnsiTheme="majorBidi" w:cstheme="majorBidi"/>
          <w:sz w:val="24"/>
          <w:szCs w:val="24"/>
        </w:rPr>
        <w:t xml:space="preserve"> En ordonnée logarithmique, on place le nombre de cours d’eau correspondant à chaque numéro d’ordre (NX);</w:t>
      </w:r>
    </w:p>
    <w:p>
      <w:pPr>
        <w:pStyle w:val="10"/>
        <w:numPr>
          <w:ilvl w:val="0"/>
          <w:numId w:val="23"/>
        </w:numPr>
        <w:spacing w:after="0" w:line="360" w:lineRule="auto"/>
        <w:rPr>
          <w:rFonts w:asciiTheme="majorBidi" w:hAnsiTheme="majorBidi" w:cstheme="majorBidi"/>
          <w:sz w:val="24"/>
          <w:szCs w:val="24"/>
        </w:rPr>
      </w:pPr>
      <w:r>
        <w:rPr>
          <w:rFonts w:asciiTheme="majorBidi" w:hAnsiTheme="majorBidi" w:cstheme="majorBidi"/>
          <w:sz w:val="24"/>
          <w:szCs w:val="24"/>
        </w:rPr>
        <w:t>En abscisse arithmétique, on place les numéros d’ordre (x).</w:t>
      </w:r>
    </w:p>
    <w:p>
      <w:pPr>
        <w:spacing w:after="0" w:line="360" w:lineRule="auto"/>
        <w:rPr>
          <w:rFonts w:asciiTheme="majorBidi" w:hAnsiTheme="majorBidi" w:cstheme="majorBidi"/>
          <w:sz w:val="24"/>
          <w:szCs w:val="24"/>
        </w:rPr>
      </w:pPr>
      <w:r>
        <w:rPr>
          <w:rFonts w:asciiTheme="majorBidi" w:hAnsiTheme="majorBidi" w:cstheme="majorBidi"/>
          <w:sz w:val="24"/>
          <w:szCs w:val="24"/>
        </w:rPr>
        <w:t>L’alignement des points n’est pas mauvais.</w:t>
      </w:r>
    </w:p>
    <w:p>
      <w:pPr>
        <w:spacing w:after="0" w:line="360" w:lineRule="auto"/>
        <w:rPr>
          <w:rFonts w:asciiTheme="majorBidi" w:hAnsiTheme="majorBidi" w:cstheme="majorBidi"/>
          <w:sz w:val="24"/>
          <w:szCs w:val="24"/>
        </w:rPr>
      </w:pPr>
      <w:r>
        <w:rPr>
          <w:rFonts w:asciiTheme="majorBidi" w:hAnsiTheme="majorBidi" w:cstheme="majorBidi"/>
          <w:sz w:val="24"/>
          <w:szCs w:val="24"/>
        </w:rPr>
        <w:t>On calcul la pente de la droite ajustée. Pour ceci on prend sur la droite par exemple la valeur de NX pour x = 2 : N</w:t>
      </w:r>
      <w:r>
        <w:rPr>
          <w:rFonts w:asciiTheme="majorBidi" w:hAnsiTheme="majorBidi" w:cstheme="majorBidi"/>
          <w:sz w:val="24"/>
          <w:szCs w:val="24"/>
          <w:vertAlign w:val="subscript"/>
        </w:rPr>
        <w:t>2</w:t>
      </w:r>
      <w:r>
        <w:rPr>
          <w:rFonts w:asciiTheme="majorBidi" w:hAnsiTheme="majorBidi" w:cstheme="majorBidi"/>
          <w:sz w:val="24"/>
          <w:szCs w:val="24"/>
        </w:rPr>
        <w:t>=1000pour x = 3 : N</w:t>
      </w:r>
      <w:r>
        <w:rPr>
          <w:rFonts w:asciiTheme="majorBidi" w:hAnsiTheme="majorBidi" w:cstheme="majorBidi"/>
          <w:sz w:val="24"/>
          <w:szCs w:val="24"/>
          <w:vertAlign w:val="subscript"/>
        </w:rPr>
        <w:t>3</w:t>
      </w:r>
      <w:r>
        <w:rPr>
          <w:rFonts w:asciiTheme="majorBidi" w:hAnsiTheme="majorBidi" w:cstheme="majorBidi"/>
          <w:sz w:val="24"/>
          <w:szCs w:val="24"/>
        </w:rPr>
        <w:t xml:space="preserve"> =200.</w:t>
      </w:r>
    </w:p>
    <w:p>
      <w:pPr>
        <w:rPr>
          <w:rFonts w:asciiTheme="majorBidi" w:hAnsiTheme="majorBidi" w:cstheme="majorBidi"/>
          <w:sz w:val="24"/>
          <w:szCs w:val="24"/>
        </w:rPr>
      </w:pPr>
      <w:r>
        <w:rPr>
          <w:rFonts w:asciiTheme="majorBidi" w:hAnsiTheme="majorBidi" w:cstheme="majorBidi"/>
          <w:sz w:val="24"/>
          <w:szCs w:val="24"/>
        </w:rPr>
        <w:t>On a :</w:t>
      </w:r>
    </w:p>
    <w:p>
      <w:pPr>
        <w:rPr>
          <w:rFonts w:asciiTheme="majorBidi" w:hAnsiTheme="majorBidi" w:cstheme="majorBidi"/>
          <w:sz w:val="24"/>
          <w:szCs w:val="24"/>
        </w:rPr>
      </w:pPr>
      <w:r>
        <w:rPr>
          <w:rFonts w:asciiTheme="majorBidi" w:hAnsiTheme="majorBidi" w:cstheme="majorBidi"/>
          <w:sz w:val="24"/>
          <w:szCs w:val="24"/>
        </w:rPr>
        <w:t>Log R</w:t>
      </w:r>
      <w:r>
        <w:rPr>
          <w:rFonts w:asciiTheme="majorBidi" w:hAnsiTheme="majorBidi" w:cstheme="majorBidi"/>
          <w:sz w:val="24"/>
          <w:szCs w:val="24"/>
          <w:vertAlign w:val="subscript"/>
        </w:rPr>
        <w:t>c</w:t>
      </w:r>
      <w:r>
        <w:rPr>
          <w:rFonts w:asciiTheme="majorBidi" w:hAnsiTheme="majorBidi" w:cstheme="majorBidi"/>
          <w:sz w:val="24"/>
          <w:szCs w:val="24"/>
        </w:rPr>
        <w:t xml:space="preserve"> =│a│= Log950- Log450 =0.68</w:t>
      </w:r>
    </w:p>
    <w:p>
      <w:pPr>
        <w:jc w:val="both"/>
        <w:rPr>
          <w:rFonts w:asciiTheme="majorBidi" w:hAnsiTheme="majorBidi" w:cstheme="majorBidi"/>
          <w:sz w:val="24"/>
          <w:szCs w:val="24"/>
        </w:rPr>
      </w:pPr>
      <w:r>
        <w:rPr>
          <w:rFonts w:asciiTheme="majorBidi" w:hAnsiTheme="majorBidi" w:cstheme="majorBidi"/>
          <w:sz w:val="24"/>
          <w:szCs w:val="24"/>
        </w:rPr>
        <w:t>Rc = 10</w:t>
      </w:r>
      <w:r>
        <w:rPr>
          <w:rFonts w:asciiTheme="majorBidi" w:hAnsiTheme="majorBidi" w:cstheme="majorBidi"/>
          <w:sz w:val="24"/>
          <w:szCs w:val="24"/>
          <w:vertAlign w:val="superscript"/>
        </w:rPr>
        <w:t>0.68</w:t>
      </w:r>
      <w:r>
        <w:rPr>
          <w:rFonts w:asciiTheme="majorBidi" w:hAnsiTheme="majorBidi" w:cstheme="majorBidi"/>
          <w:sz w:val="24"/>
          <w:szCs w:val="24"/>
        </w:rPr>
        <w:t xml:space="preserve"> = 4.78.</w:t>
      </w:r>
    </w:p>
    <w:p>
      <w:pPr>
        <w:jc w:val="both"/>
        <w:rPr>
          <w:rFonts w:asciiTheme="majorBidi" w:hAnsiTheme="majorBidi" w:cstheme="majorBidi"/>
          <w:sz w:val="24"/>
          <w:szCs w:val="24"/>
        </w:rPr>
      </w:pPr>
      <w:r>
        <w:rPr>
          <w:rFonts w:asciiTheme="majorBidi" w:hAnsiTheme="majorBidi" w:cstheme="majorBidi"/>
          <w:sz w:val="24"/>
          <w:szCs w:val="24"/>
          <w:lang w:eastAsia="fr-FR"/>
        </w:rPr>
        <w:drawing>
          <wp:inline distT="0" distB="0" distL="0" distR="0">
            <wp:extent cx="5876925" cy="3248025"/>
            <wp:effectExtent l="53975" t="53975" r="114300" b="11430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883703" cy="3251771"/>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jc w:val="center"/>
        <w:rPr>
          <w:rFonts w:asciiTheme="majorBidi" w:hAnsiTheme="majorBidi" w:cstheme="majorBidi"/>
          <w:sz w:val="24"/>
          <w:szCs w:val="24"/>
        </w:rPr>
      </w:pPr>
      <w:r>
        <w:rPr>
          <w:rFonts w:asciiTheme="majorBidi" w:hAnsiTheme="majorBidi" w:cstheme="majorBidi"/>
          <w:sz w:val="24"/>
          <w:szCs w:val="24"/>
        </w:rPr>
        <w:t>Fign°26 : Estimation graphique du rapport de confluence.</w:t>
      </w:r>
    </w:p>
    <w:p>
      <w:pPr>
        <w:rPr>
          <w:rFonts w:asciiTheme="majorBidi" w:hAnsiTheme="majorBidi" w:cstheme="majorBidi"/>
          <w:b/>
          <w:bCs/>
          <w:sz w:val="24"/>
          <w:szCs w:val="24"/>
        </w:rPr>
      </w:pPr>
      <w:r>
        <w:rPr>
          <w:rFonts w:asciiTheme="majorBidi" w:hAnsiTheme="majorBidi" w:cstheme="majorBidi"/>
          <w:b/>
          <w:bCs/>
          <w:sz w:val="24"/>
          <w:szCs w:val="24"/>
        </w:rPr>
        <w:t xml:space="preserve">Conclusion : </w:t>
      </w:r>
    </w:p>
    <w:p>
      <w:pPr>
        <w:ind w:firstLine="284"/>
        <w:rPr>
          <w:rFonts w:asciiTheme="majorBidi" w:hAnsiTheme="majorBidi" w:cstheme="majorBidi"/>
          <w:sz w:val="24"/>
          <w:szCs w:val="24"/>
        </w:rPr>
      </w:pPr>
      <w:r>
        <w:rPr>
          <w:rFonts w:asciiTheme="majorBidi" w:hAnsiTheme="majorBidi" w:cstheme="majorBidi"/>
          <w:sz w:val="24"/>
          <w:szCs w:val="24"/>
        </w:rPr>
        <w:t>L'étude morpho-métrique du bassin versant de l'Oued Kramis a abouti aux résultats suivants :</w:t>
      </w:r>
    </w:p>
    <w:p>
      <w:pPr>
        <w:ind w:firstLine="284"/>
        <w:rPr>
          <w:rFonts w:asciiTheme="majorBidi" w:hAnsiTheme="majorBidi" w:cstheme="majorBidi"/>
          <w:sz w:val="24"/>
          <w:szCs w:val="24"/>
        </w:rPr>
      </w:pPr>
      <w:r>
        <w:rPr>
          <w:rFonts w:asciiTheme="majorBidi" w:hAnsiTheme="majorBidi" w:cstheme="majorBidi"/>
          <w:sz w:val="24"/>
          <w:szCs w:val="24"/>
        </w:rPr>
        <w:t>La valeur de L’indice de forme (KC = 1,20) traduit l’existence d’un bassin allongé, donc la prédominance de l’érosion régressive sur l’érosion latérale.</w:t>
      </w:r>
    </w:p>
    <w:p>
      <w:pPr>
        <w:rPr>
          <w:rFonts w:asciiTheme="majorBidi" w:hAnsiTheme="majorBidi" w:cstheme="majorBidi"/>
          <w:sz w:val="24"/>
          <w:szCs w:val="24"/>
        </w:rPr>
      </w:pPr>
      <w:r>
        <w:rPr>
          <w:rFonts w:asciiTheme="majorBidi" w:hAnsiTheme="majorBidi" w:cstheme="majorBidi"/>
          <w:sz w:val="24"/>
          <w:szCs w:val="24"/>
        </w:rPr>
        <w:t>L’altitude maximale = 750 m, elle correspond au plus haut point du bassin versant.</w:t>
      </w:r>
    </w:p>
    <w:p>
      <w:pPr>
        <w:rPr>
          <w:rFonts w:asciiTheme="majorBidi" w:hAnsiTheme="majorBidi" w:cstheme="majorBidi"/>
          <w:sz w:val="24"/>
          <w:szCs w:val="24"/>
        </w:rPr>
      </w:pPr>
      <w:r>
        <w:rPr>
          <w:rFonts w:asciiTheme="majorBidi" w:hAnsiTheme="majorBidi" w:cstheme="majorBidi"/>
          <w:sz w:val="24"/>
          <w:szCs w:val="24"/>
        </w:rPr>
        <w:t>L’altitude minimale = 45 m, elle correspond au plus bas point du bassin versant.</w:t>
      </w:r>
    </w:p>
    <w:p>
      <w:pPr>
        <w:rPr>
          <w:rFonts w:asciiTheme="majorBidi" w:hAnsiTheme="majorBidi" w:cstheme="majorBidi"/>
          <w:sz w:val="24"/>
          <w:szCs w:val="24"/>
        </w:rPr>
      </w:pPr>
      <w:r>
        <w:rPr>
          <w:rFonts w:asciiTheme="majorBidi" w:hAnsiTheme="majorBidi" w:cstheme="majorBidi"/>
          <w:sz w:val="24"/>
          <w:szCs w:val="24"/>
        </w:rPr>
        <w:t>L’altitude moyenne du bassin est de 361.34 m.</w:t>
      </w:r>
    </w:p>
    <w:p>
      <w:pPr>
        <w:ind w:firstLine="284"/>
        <w:rPr>
          <w:sz w:val="24"/>
          <w:szCs w:val="24"/>
        </w:rPr>
      </w:pPr>
      <w:r>
        <w:rPr>
          <w:rFonts w:asciiTheme="majorBidi" w:hAnsiTheme="majorBidi" w:cstheme="majorBidi"/>
          <w:sz w:val="24"/>
          <w:szCs w:val="24"/>
        </w:rPr>
        <w:t>L'étude de la courbe hypsométrique de l'Oued Kramis fait ressortir la présence d'importantes variations de pente liée directement à la tectonique et à la nature lithologique des différentes formations</w:t>
      </w:r>
      <w:r>
        <w:rPr>
          <w:sz w:val="24"/>
          <w:szCs w:val="24"/>
        </w:rPr>
        <w:t xml:space="preserve">.   </w:t>
      </w:r>
    </w:p>
    <w:p>
      <w:pPr>
        <w:jc w:val="both"/>
        <w:rPr>
          <w:rFonts w:asciiTheme="majorBidi" w:hAnsiTheme="majorBidi" w:cstheme="majorBidi"/>
          <w:b/>
          <w:bCs/>
          <w:sz w:val="28"/>
          <w:szCs w:val="28"/>
          <w:u w:val="single"/>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Introduction</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Les eaux de surface sont souvent disponibles en plus grande quantité que les eaux souterraines, mais elles sont aussi plus vulnérables aux sources de pollution naturelles et anthropiques.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La majorité des grandes municipalités du monde s’alimentent en eau potable à partir d’une eau de surface .Une eau de surface est un milieu très dilué et complexe, contenant des matières minérales et organiques diverses en suspension ou en solution. Ces municipalités optent habituellement pour un traitement conventionnel.</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1. Définition des eaux de surface :</w:t>
      </w:r>
    </w:p>
    <w:p>
      <w:pPr>
        <w:spacing w:after="0" w:line="360" w:lineRule="auto"/>
        <w:jc w:val="both"/>
        <w:rPr>
          <w:rFonts w:asciiTheme="majorBidi" w:hAnsiTheme="majorBidi" w:cstheme="majorBidi"/>
          <w:color w:val="FF0000"/>
          <w:sz w:val="24"/>
          <w:szCs w:val="24"/>
        </w:rPr>
      </w:pPr>
      <w:r>
        <w:rPr>
          <w:rFonts w:asciiTheme="majorBidi" w:hAnsiTheme="majorBidi" w:cstheme="majorBidi"/>
          <w:sz w:val="24"/>
          <w:szCs w:val="24"/>
        </w:rPr>
        <w:t xml:space="preserve">Les eaux de surface se répartissent en eaux véhiculées par les cours d’eau, ou contenues dans les lacs, ou maintenues derrière les barrages réservoirs, elles ont pour origine, soit des nappes profondes dont l’émergence constitue une source de ruisseaux, de rivières, soit des rassemblements des eaux de ruissellement. </w:t>
      </w:r>
    </w:p>
    <w:p>
      <w:pPr>
        <w:spacing w:after="0" w:line="360" w:lineRule="auto"/>
        <w:jc w:val="both"/>
        <w:rPr>
          <w:rFonts w:asciiTheme="majorBidi" w:hAnsiTheme="majorBidi" w:cstheme="majorBidi"/>
          <w:sz w:val="24"/>
          <w:szCs w:val="24"/>
        </w:rPr>
      </w:pPr>
      <w:r>
        <w:rPr>
          <w:rFonts w:asciiTheme="majorBidi" w:hAnsiTheme="majorBidi" w:cstheme="majorBidi"/>
          <w:sz w:val="24"/>
          <w:szCs w:val="24"/>
        </w:rPr>
        <w:t>La composition de l’eau de surface est plus variable. Elle contient toujours de l’oxygène dissous, mais aussi des bactéries, des matières en suspension, des algues et des substances organiques qui peuvent donner des problèmes de goût et d’odeur.</w:t>
      </w:r>
    </w:p>
    <w:p>
      <w:pPr>
        <w:pStyle w:val="5"/>
        <w:shd w:val="clear" w:color="auto" w:fill="FFFFFF"/>
        <w:spacing w:before="0" w:beforeAutospacing="0" w:after="0" w:afterAutospacing="0" w:line="360" w:lineRule="auto"/>
        <w:rPr>
          <w:rFonts w:asciiTheme="majorBidi" w:hAnsiTheme="majorBidi" w:cstheme="majorBidi"/>
          <w:b/>
          <w:bCs/>
        </w:rPr>
      </w:pPr>
      <w:r>
        <w:rPr>
          <w:rFonts w:asciiTheme="majorBidi" w:hAnsiTheme="majorBidi" w:cstheme="majorBidi"/>
          <w:b/>
          <w:bCs/>
        </w:rPr>
        <w:t>2. Définition du traitement des eaux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 mot “traitement” est souvent associé, dans notre esprit, à l’idée de produits chimiques.</w:t>
      </w:r>
    </w:p>
    <w:p>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Or dans les faits, le traitement de l’eau fait appel pour une très large part à des procédés naturels, physiques (dégrillage, filtration, décantation…), à des procédés biologiques (élimination des nitrates à l’aide de cultures bactériennes…) et à des procédés physico-chimiques (coagulation floculation).Les traitements chimiques sont essentiellement des traitements de désinfection par le chlore l’azote et les U.V.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Il existe trois types de traitement des eaux de surface </w:t>
      </w:r>
    </w:p>
    <w:p>
      <w:pPr>
        <w:pStyle w:val="10"/>
        <w:numPr>
          <w:ilvl w:val="0"/>
          <w:numId w:val="24"/>
        </w:num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 Traitement des eaux potables (qui provienne  surtout des rotures (barrage, cour d’eau, lac)</w:t>
      </w:r>
    </w:p>
    <w:p>
      <w:pPr>
        <w:pStyle w:val="10"/>
        <w:numPr>
          <w:ilvl w:val="0"/>
          <w:numId w:val="24"/>
        </w:num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Traitement des  eaux usées (agglomération industrie).</w:t>
      </w:r>
    </w:p>
    <w:p>
      <w:pPr>
        <w:pStyle w:val="10"/>
        <w:numPr>
          <w:ilvl w:val="0"/>
          <w:numId w:val="24"/>
        </w:num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Traitement des eaux de mer (dessalement).</w:t>
      </w: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3. Définition de l’eau potable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Une eau potable est une eau que l’on peut boire sans risque pour la santé. Afin de définir précisément une eau potable, des normes ont été établies qui fixent  notamment les teneurs limites à ne pas dépasser pour un certain nombre de substance nocives et susceptibles d’être signifie donc pas qu’elle soit exempte de matières polluantes, mais que leur concentration a été jugée suffisamment faible pour ne pas mettre en danger la santé du consommateur (OMS, 2000).</w:t>
      </w:r>
    </w:p>
    <w:p>
      <w:pPr>
        <w:spacing w:after="0" w:line="360" w:lineRule="auto"/>
        <w:jc w:val="both"/>
        <w:rPr>
          <w:rFonts w:asciiTheme="majorBidi" w:hAnsiTheme="majorBidi" w:cstheme="majorBidi"/>
          <w:b/>
          <w:bCs/>
          <w:sz w:val="24"/>
          <w:szCs w:val="24"/>
        </w:rPr>
      </w:pPr>
    </w:p>
    <w:p>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3.1. Traitement des eaux potables :</w:t>
      </w:r>
    </w:p>
    <w:p>
      <w:pPr>
        <w:spacing w:after="0" w:line="360" w:lineRule="auto"/>
        <w:ind w:firstLine="567"/>
        <w:rPr>
          <w:rFonts w:asciiTheme="majorBidi" w:hAnsiTheme="majorBidi" w:cstheme="majorBidi"/>
          <w:sz w:val="24"/>
          <w:szCs w:val="24"/>
        </w:rPr>
      </w:pPr>
      <w:r>
        <w:rPr>
          <w:rFonts w:asciiTheme="majorBidi" w:hAnsiTheme="majorBidi" w:cstheme="majorBidi"/>
          <w:sz w:val="24"/>
          <w:szCs w:val="24"/>
        </w:rPr>
        <w:t xml:space="preserve">A partir des recommandations émises par l'Organisation Mondiale de la Santé (OMS), des normes national et international pour traitement biologique et chimiqu-physique  </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3.2. Les étapes du traitement des eaux potable sont (figure n°27) :</w:t>
      </w:r>
    </w:p>
    <w:p>
      <w:pPr>
        <w:pStyle w:val="10"/>
        <w:numPr>
          <w:ilvl w:val="0"/>
          <w:numId w:val="25"/>
        </w:numPr>
        <w:spacing w:after="0" w:line="360" w:lineRule="auto"/>
      </w:pPr>
      <w:r>
        <w:rPr>
          <w:rFonts w:asciiTheme="majorBidi" w:hAnsiTheme="majorBidi" w:cstheme="majorBidi"/>
          <w:b/>
          <w:bCs/>
          <w:sz w:val="24"/>
          <w:szCs w:val="24"/>
        </w:rPr>
        <w:t>Dégrillage et tamisage:</w:t>
      </w:r>
    </w:p>
    <w:p>
      <w:pPr>
        <w:spacing w:after="0" w:line="360" w:lineRule="auto"/>
        <w:ind w:firstLine="567"/>
        <w:rPr>
          <w:rFonts w:asciiTheme="majorBidi" w:hAnsiTheme="majorBidi" w:cstheme="majorBidi"/>
          <w:sz w:val="24"/>
          <w:szCs w:val="24"/>
        </w:rPr>
      </w:pPr>
      <w:r>
        <w:rPr>
          <w:rFonts w:asciiTheme="majorBidi" w:hAnsiTheme="majorBidi" w:cstheme="majorBidi"/>
          <w:sz w:val="24"/>
          <w:szCs w:val="24"/>
        </w:rPr>
        <w:t xml:space="preserve"> L'eau est d'abord filtrée à travers plusieurs grilles afin d'arrêter les plus gros déchets, puis elle passe dans des tamis à mailles fines retenant des déchets plus petits.</w:t>
      </w:r>
    </w:p>
    <w:p>
      <w:pPr>
        <w:pStyle w:val="10"/>
        <w:numPr>
          <w:ilvl w:val="0"/>
          <w:numId w:val="25"/>
        </w:numPr>
        <w:spacing w:after="0" w:line="360" w:lineRule="auto"/>
        <w:jc w:val="both"/>
        <w:rPr>
          <w:rFonts w:asciiTheme="majorBidi" w:hAnsiTheme="majorBidi" w:cstheme="majorBidi"/>
          <w:sz w:val="24"/>
          <w:szCs w:val="24"/>
        </w:rPr>
      </w:pPr>
      <w:r>
        <w:rPr>
          <w:rFonts w:asciiTheme="majorBidi" w:hAnsiTheme="majorBidi" w:cstheme="majorBidi"/>
          <w:b/>
          <w:bCs/>
          <w:sz w:val="24"/>
          <w:szCs w:val="24"/>
        </w:rPr>
        <w:t>Décantation Clarification:</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La clarification est une étape indispensable pour les eaux de surface et les eaux souterraines provenant de plateaux calcaires.</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Elle permet d’obtenir une eau limpide par élimination plus poussée des particules en suspension (sable, limons, débris organiques), des matières colloïdales plus petites (argiles fines, bactéries) et d’une partie des matières dissoutes (matières organiques, sels…). </w:t>
      </w:r>
    </w:p>
    <w:p>
      <w:pPr>
        <w:pStyle w:val="10"/>
        <w:numPr>
          <w:ilvl w:val="0"/>
          <w:numId w:val="25"/>
        </w:numPr>
        <w:spacing w:after="0" w:line="360" w:lineRule="auto"/>
        <w:rPr>
          <w:rFonts w:asciiTheme="majorBidi" w:hAnsiTheme="majorBidi" w:cstheme="majorBidi"/>
          <w:sz w:val="24"/>
          <w:szCs w:val="24"/>
        </w:rPr>
      </w:pPr>
      <w:r>
        <w:rPr>
          <w:rFonts w:asciiTheme="majorBidi" w:hAnsiTheme="majorBidi" w:cstheme="majorBidi"/>
          <w:b/>
          <w:bCs/>
          <w:sz w:val="24"/>
          <w:szCs w:val="24"/>
        </w:rPr>
        <w:t>Floculation/coagulation et décantation :</w:t>
      </w:r>
      <w:r>
        <w:rPr>
          <w:rFonts w:asciiTheme="majorBidi" w:hAnsiTheme="majorBidi" w:cstheme="majorBidi"/>
          <w:sz w:val="24"/>
          <w:szCs w:val="24"/>
        </w:rPr>
        <w:t xml:space="preserve">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Pour éliminer les matières colloïdales et les particules en suspension présentes dans les eaux brutes, on utilise des procédés couplés de coagulation et de floculation.</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Ils consistent à agréger les particules afin de les extraire plus facilement. L’introduction d’un coagulant, généralement un sel de fer ou d’aluminium ou silicate d’alumine, permet de réduire les forces de répulsion électrostatique qui existent entre les particules. Ces particules déstabilisées se rassemblent pour former de petits agrégats.</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Après l’étape de coagulation, la floculation a pour objectif d’accroître la cohésion des particules par agitation de l’eau. Elle conduit à la formation d’amas de plus en plus volumineux appelés « flocs». Pour améliorer la floculation, un floculant : minéral (silice activée), polymère naturel (alginate ou amidon) ou polymère de synthèse peut être ajouté.</w:t>
      </w:r>
    </w:p>
    <w:p>
      <w:pPr>
        <w:spacing w:after="0" w:line="360" w:lineRule="auto"/>
        <w:ind w:firstLine="567"/>
        <w:jc w:val="both"/>
        <w:rPr>
          <w:rFonts w:asciiTheme="majorBidi" w:hAnsiTheme="majorBidi" w:cstheme="majorBidi"/>
          <w:sz w:val="24"/>
          <w:szCs w:val="24"/>
        </w:rPr>
      </w:pPr>
      <w:r>
        <w:rPr>
          <w:rFonts w:asciiTheme="majorBidi" w:hAnsiTheme="majorBidi" w:cstheme="majorBidi"/>
          <w:sz w:val="24"/>
          <w:szCs w:val="24"/>
        </w:rPr>
        <w:t>L’extraction des “flocs” se fait ensuite par décantation ou flottation. Sous l’effet de son poids, le floc se dépose au fond de la cuve de décantation. Il est possible d’accélérer sa décantation en le lestant avec du micro sable.</w:t>
      </w:r>
    </w:p>
    <w:p>
      <w:pPr>
        <w:pStyle w:val="10"/>
        <w:numPr>
          <w:ilvl w:val="0"/>
          <w:numId w:val="25"/>
        </w:num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Filtration :</w:t>
      </w:r>
    </w:p>
    <w:p>
      <w:pPr>
        <w:spacing w:after="0" w:line="360" w:lineRule="auto"/>
        <w:ind w:firstLine="567"/>
        <w:rPr>
          <w:rFonts w:asciiTheme="majorBidi" w:hAnsiTheme="majorBidi" w:cstheme="majorBidi"/>
          <w:sz w:val="24"/>
          <w:szCs w:val="24"/>
        </w:rPr>
      </w:pPr>
      <w:r>
        <w:rPr>
          <w:rFonts w:asciiTheme="majorBidi" w:hAnsiTheme="majorBidi" w:cstheme="majorBidi"/>
          <w:sz w:val="24"/>
          <w:szCs w:val="24"/>
        </w:rPr>
        <w:t>Pour éliminer les 10 % de MES restantes, l'eau traverse un filtre, lit de sable fin et/ou un filtre à charbon actif. La filtration sur sable élimine les matières encore visibles à l'œil nu. Les filtres à charbon actif retiennent en plus les micropolluants, comme les pesticides et leurs sous-produits, les composés à l’origine des goûts et des odeurs (cette filtration peut avoir lieu après la désinfection également car ils retiennent également des sous-produits de désinfection)</w:t>
      </w:r>
    </w:p>
    <w:p>
      <w:pPr>
        <w:pStyle w:val="10"/>
        <w:numPr>
          <w:ilvl w:val="0"/>
          <w:numId w:val="25"/>
        </w:numPr>
        <w:spacing w:after="0" w:line="360" w:lineRule="auto"/>
        <w:rPr>
          <w:rFonts w:asciiTheme="majorBidi" w:hAnsiTheme="majorBidi" w:cstheme="majorBidi"/>
          <w:sz w:val="24"/>
          <w:szCs w:val="24"/>
        </w:rPr>
      </w:pPr>
      <w:r>
        <w:rPr>
          <w:rFonts w:asciiTheme="majorBidi" w:hAnsiTheme="majorBidi" w:cstheme="majorBidi"/>
          <w:b/>
          <w:bCs/>
          <w:sz w:val="24"/>
          <w:szCs w:val="24"/>
        </w:rPr>
        <w:t>Désinfection:</w:t>
      </w:r>
    </w:p>
    <w:p>
      <w:pPr>
        <w:spacing w:after="0" w:line="360" w:lineRule="auto"/>
        <w:ind w:firstLine="567"/>
        <w:jc w:val="both"/>
        <w:rPr>
          <w:rFonts w:asciiTheme="majorBidi" w:hAnsiTheme="majorBidi" w:cstheme="majorBidi"/>
          <w:sz w:val="24"/>
          <w:szCs w:val="24"/>
        </w:rPr>
      </w:pPr>
      <w:r>
        <w:rPr>
          <w:rFonts w:asciiTheme="majorBidi" w:hAnsiTheme="majorBidi" w:cstheme="majorBidi"/>
          <w:sz w:val="24"/>
          <w:szCs w:val="24"/>
        </w:rPr>
        <w:t>La désinfection permet de neutraliser les virus et les bactéries pathogènes. Elle garantit à l’eau une qualité sanitaire irréprochable tout en réduisant les nuisances de goût et d'odeur liées à l'utilisation du chlore.</w:t>
      </w:r>
    </w:p>
    <w:p>
      <w:pPr>
        <w:pStyle w:val="10"/>
        <w:numPr>
          <w:ilvl w:val="0"/>
          <w:numId w:val="25"/>
        </w:numPr>
        <w:spacing w:after="0" w:line="360" w:lineRule="auto"/>
        <w:jc w:val="both"/>
        <w:rPr>
          <w:rFonts w:asciiTheme="majorBidi" w:hAnsiTheme="majorBidi" w:cstheme="majorBidi"/>
          <w:sz w:val="24"/>
          <w:szCs w:val="24"/>
        </w:rPr>
      </w:pPr>
      <w:r>
        <w:rPr>
          <w:rFonts w:asciiTheme="majorBidi" w:hAnsiTheme="majorBidi" w:cstheme="majorBidi"/>
          <w:b/>
          <w:bCs/>
          <w:sz w:val="24"/>
          <w:szCs w:val="24"/>
        </w:rPr>
        <w:t>Ozonation:</w:t>
      </w:r>
    </w:p>
    <w:p>
      <w:pPr>
        <w:spacing w:after="0" w:line="360" w:lineRule="auto"/>
        <w:ind w:firstLine="567"/>
        <w:rPr>
          <w:rFonts w:asciiTheme="majorBidi" w:hAnsiTheme="majorBidi" w:cstheme="majorBidi"/>
          <w:sz w:val="24"/>
          <w:szCs w:val="24"/>
        </w:rPr>
      </w:pPr>
      <w:r>
        <w:rPr>
          <w:rFonts w:asciiTheme="majorBidi" w:hAnsiTheme="majorBidi" w:cstheme="majorBidi"/>
          <w:sz w:val="24"/>
          <w:szCs w:val="24"/>
        </w:rPr>
        <w:t xml:space="preserve"> L'eau est désinfectée grâce à l'ozone, qui a une action bactéricide et antivirus. Ce gaz, mélangé à l'eau, agit aussi sur les matières organiques en les cassant en morceaux. Il améliore également la couleur et la saveur de l'eau.</w:t>
      </w:r>
    </w:p>
    <w:p>
      <w:pPr>
        <w:pStyle w:val="10"/>
        <w:numPr>
          <w:ilvl w:val="0"/>
          <w:numId w:val="25"/>
        </w:numPr>
        <w:spacing w:after="0" w:line="360" w:lineRule="auto"/>
        <w:rPr>
          <w:rFonts w:asciiTheme="majorBidi" w:hAnsiTheme="majorBidi" w:cstheme="majorBidi"/>
          <w:sz w:val="24"/>
          <w:szCs w:val="24"/>
        </w:rPr>
      </w:pPr>
      <w:r>
        <w:rPr>
          <w:rFonts w:asciiTheme="majorBidi" w:hAnsiTheme="majorBidi" w:cstheme="majorBidi"/>
          <w:b/>
          <w:bCs/>
          <w:sz w:val="24"/>
          <w:szCs w:val="24"/>
        </w:rPr>
        <w:t>Chloration</w:t>
      </w:r>
      <w:r>
        <w:rPr>
          <w:rFonts w:asciiTheme="majorBidi" w:hAnsiTheme="majorBidi" w:cstheme="majorBidi"/>
          <w:sz w:val="24"/>
          <w:szCs w:val="24"/>
        </w:rPr>
        <w:t>. </w:t>
      </w:r>
      <w:r>
        <w:rPr>
          <w:rFonts w:asciiTheme="majorBidi" w:hAnsiTheme="majorBidi" w:cstheme="majorBidi"/>
          <w:b/>
          <w:bCs/>
          <w:sz w:val="24"/>
          <w:szCs w:val="24"/>
        </w:rPr>
        <w:t>:</w:t>
      </w:r>
    </w:p>
    <w:p>
      <w:pPr>
        <w:spacing w:after="0" w:line="360" w:lineRule="auto"/>
        <w:ind w:firstLine="567"/>
        <w:rPr>
          <w:rFonts w:asciiTheme="majorBidi" w:hAnsiTheme="majorBidi" w:cstheme="majorBidi"/>
          <w:sz w:val="24"/>
          <w:szCs w:val="24"/>
        </w:rPr>
      </w:pPr>
      <w:r>
        <w:rPr>
          <w:rFonts w:asciiTheme="majorBidi" w:hAnsiTheme="majorBidi" w:cstheme="majorBidi"/>
          <w:sz w:val="24"/>
          <w:szCs w:val="24"/>
        </w:rPr>
        <w:t xml:space="preserve"> Du chlore est ajouté à la sortie de l'usine de production et sur différents points du réseau de distribution afin d'éviter le développement de bactéries et de maintenir la qualité de l'eau tout au long de son parcours dans les canalisations.</w:t>
      </w:r>
    </w:p>
    <w:p>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drawing>
          <wp:inline distT="0" distB="0" distL="0" distR="0">
            <wp:extent cx="5847080" cy="4743450"/>
            <wp:effectExtent l="53975" t="53975" r="118745" b="11747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850255" cy="4746026"/>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Fig n°26 : les différentes  étapes du traitement des eaux potables.</w:t>
      </w:r>
    </w:p>
    <w:p>
      <w:pPr>
        <w:spacing w:after="0" w:line="360" w:lineRule="auto"/>
        <w:rPr>
          <w:b/>
          <w:bCs/>
          <w:sz w:val="24"/>
          <w:szCs w:val="24"/>
        </w:rPr>
      </w:pPr>
    </w:p>
    <w:p>
      <w:pPr>
        <w:spacing w:after="0" w:line="360" w:lineRule="auto"/>
        <w:rPr>
          <w:b/>
          <w:bCs/>
          <w:sz w:val="24"/>
          <w:szCs w:val="24"/>
        </w:rPr>
      </w:pPr>
      <w:r>
        <w:rPr>
          <w:b/>
          <w:bCs/>
          <w:sz w:val="24"/>
          <w:szCs w:val="24"/>
        </w:rPr>
        <w:t>3.2.1 Les paramètres physico-chimiques :</w:t>
      </w:r>
    </w:p>
    <w:p>
      <w:pPr>
        <w:spacing w:after="0" w:line="360" w:lineRule="auto"/>
        <w:rPr>
          <w:rFonts w:asciiTheme="majorBidi" w:hAnsiTheme="majorBidi" w:cstheme="majorBidi"/>
          <w:sz w:val="24"/>
          <w:szCs w:val="24"/>
        </w:rPr>
      </w:pPr>
      <w:r>
        <w:rPr>
          <w:rFonts w:asciiTheme="majorBidi" w:hAnsiTheme="majorBidi" w:cstheme="majorBidi"/>
          <w:sz w:val="24"/>
          <w:szCs w:val="24"/>
        </w:rPr>
        <w:t xml:space="preserve">Les rejets en matières carbonées sont mesurés par les paramètres suivants :     </w:t>
      </w:r>
    </w:p>
    <w:p>
      <w:pPr>
        <w:spacing w:after="0" w:line="360" w:lineRule="auto"/>
        <w:rPr>
          <w:rFonts w:asciiTheme="majorBidi" w:hAnsiTheme="majorBidi" w:cstheme="majorBidi"/>
          <w:sz w:val="24"/>
          <w:szCs w:val="24"/>
        </w:rPr>
      </w:pPr>
      <w:r>
        <w:rPr>
          <w:rFonts w:asciiTheme="majorBidi" w:hAnsiTheme="majorBidi" w:cstheme="majorBidi"/>
          <w:sz w:val="24"/>
          <w:szCs w:val="24"/>
        </w:rPr>
        <w:t xml:space="preserve">  -</w:t>
      </w:r>
      <w:r>
        <w:rPr>
          <w:rFonts w:asciiTheme="majorBidi" w:hAnsiTheme="majorBidi" w:cstheme="majorBidi"/>
          <w:b/>
          <w:bCs/>
          <w:sz w:val="24"/>
          <w:szCs w:val="24"/>
        </w:rPr>
        <w:t xml:space="preserve">La DCO : </w:t>
      </w:r>
      <w:r>
        <w:rPr>
          <w:rFonts w:asciiTheme="majorBidi" w:hAnsiTheme="majorBidi" w:cstheme="majorBidi"/>
          <w:sz w:val="24"/>
          <w:szCs w:val="24"/>
        </w:rPr>
        <w:t xml:space="preserve">c’est la quantité d’oxygène  nécessaire pour oxyder toutes les matières organiques et les matières  minérales contenues dans  l’eau.      </w:t>
      </w:r>
    </w:p>
    <w:p>
      <w:pPr>
        <w:spacing w:after="0" w:line="360" w:lineRule="auto"/>
        <w:jc w:val="both"/>
        <w:rPr>
          <w:sz w:val="24"/>
          <w:szCs w:val="24"/>
        </w:rPr>
      </w:pPr>
      <w:r>
        <w:rPr>
          <w:sz w:val="24"/>
          <w:szCs w:val="24"/>
        </w:rPr>
        <w:t xml:space="preserve"> -</w:t>
      </w:r>
      <w:r>
        <w:rPr>
          <w:b/>
          <w:bCs/>
          <w:sz w:val="24"/>
          <w:szCs w:val="24"/>
        </w:rPr>
        <w:t>La DBO5:</w:t>
      </w:r>
      <w:r>
        <w:rPr>
          <w:sz w:val="24"/>
          <w:szCs w:val="24"/>
        </w:rPr>
        <w:t xml:space="preserve"> c’est la quantité d’oxygènes utilisés en 5 jours par les micro-organismes pour oxyder la matière.</w:t>
      </w:r>
    </w:p>
    <w:p>
      <w:pPr>
        <w:spacing w:after="0" w:line="360" w:lineRule="auto"/>
        <w:rPr>
          <w:sz w:val="24"/>
          <w:szCs w:val="24"/>
        </w:rPr>
      </w:pPr>
      <w:r>
        <w:rPr>
          <w:sz w:val="24"/>
          <w:szCs w:val="24"/>
        </w:rPr>
        <w:t>-</w:t>
      </w:r>
      <w:r>
        <w:rPr>
          <w:b/>
          <w:bCs/>
          <w:sz w:val="24"/>
          <w:szCs w:val="24"/>
        </w:rPr>
        <w:t xml:space="preserve">Les MES: </w:t>
      </w:r>
      <w:r>
        <w:rPr>
          <w:sz w:val="24"/>
          <w:szCs w:val="24"/>
        </w:rPr>
        <w:t xml:space="preserve">leur taux est mesuré par filtration puis pesée, ou par centrifugation puis pesée.                                                                                                                    </w:t>
      </w:r>
    </w:p>
    <w:p>
      <w:pPr>
        <w:spacing w:after="0" w:line="360" w:lineRule="auto"/>
        <w:rPr>
          <w:sz w:val="24"/>
          <w:szCs w:val="24"/>
        </w:rPr>
      </w:pPr>
      <w:r>
        <w:rPr>
          <w:b/>
          <w:bCs/>
          <w:sz w:val="24"/>
          <w:szCs w:val="24"/>
        </w:rPr>
        <w:t xml:space="preserve"> - Le NTK:</w:t>
      </w:r>
      <w:r>
        <w:rPr>
          <w:sz w:val="24"/>
          <w:szCs w:val="24"/>
        </w:rPr>
        <w:t xml:space="preserve"> c’est la mesure des matières azotées sous forme réduite, principalement  l’urée,  d’origine  humaine.                                                                                                                                 </w:t>
      </w:r>
    </w:p>
    <w:p>
      <w:pPr>
        <w:spacing w:after="0" w:line="360" w:lineRule="auto"/>
        <w:rPr>
          <w:sz w:val="24"/>
          <w:szCs w:val="24"/>
        </w:rPr>
      </w:pPr>
      <w:r>
        <w:rPr>
          <w:b/>
          <w:bCs/>
          <w:sz w:val="24"/>
          <w:szCs w:val="24"/>
        </w:rPr>
        <w:t>-Le NGL (azote total):</w:t>
      </w:r>
      <w:r>
        <w:rPr>
          <w:sz w:val="24"/>
          <w:szCs w:val="24"/>
        </w:rPr>
        <w:t xml:space="preserve"> c’est la mesure de l’azote total, réduit ou oxydé. L’élimination du  NGL signifie que les nitrates formés ont été éliminés.</w:t>
      </w:r>
    </w:p>
    <w:p>
      <w:pPr>
        <w:spacing w:after="0" w:line="360" w:lineRule="auto"/>
        <w:rPr>
          <w:rFonts w:asciiTheme="majorBidi" w:hAnsiTheme="majorBidi" w:cstheme="majorBidi"/>
          <w:b/>
          <w:bCs/>
          <w:sz w:val="24"/>
          <w:szCs w:val="24"/>
        </w:rPr>
      </w:pPr>
      <w:r>
        <w:rPr>
          <w:rFonts w:asciiTheme="majorBidi" w:hAnsiTheme="majorBidi" w:cstheme="majorBidi"/>
          <w:b/>
          <w:bCs/>
          <w:sz w:val="24"/>
          <w:szCs w:val="24"/>
        </w:rPr>
        <w:t>3.2.2. La matière organique dans les eaux de surface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La matière organique naturelle est un ensemble de macromolécules provenant de la dégradation de débris animaux et végétaux ainsi que de la production primaire du phytoplancton dans les eaux naturelles.</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Les eaux de surface contiennent généralement de 2 à 10 mg/l de carbone organique total, mais certaines valeurs plus élevées (jusqu’à 30 mg/l) peuvent être rencontrées dans les eaux retenues (barrages, lacs).</w:t>
      </w:r>
    </w:p>
    <w:p>
      <w:pPr>
        <w:pStyle w:val="10"/>
        <w:numPr>
          <w:ilvl w:val="0"/>
          <w:numId w:val="25"/>
        </w:numPr>
        <w:spacing w:after="0" w:line="360" w:lineRule="auto"/>
        <w:rPr>
          <w:rFonts w:asciiTheme="majorBidi" w:hAnsiTheme="majorBidi" w:cstheme="majorBidi"/>
          <w:b/>
          <w:bCs/>
          <w:sz w:val="24"/>
          <w:szCs w:val="24"/>
        </w:rPr>
      </w:pPr>
      <w:r>
        <w:rPr>
          <w:rFonts w:asciiTheme="majorBidi" w:hAnsiTheme="majorBidi" w:cstheme="majorBidi"/>
          <w:b/>
          <w:bCs/>
          <w:sz w:val="24"/>
          <w:szCs w:val="24"/>
        </w:rPr>
        <w:t>Formes des matières organiques dans les eaux de surface :</w:t>
      </w:r>
    </w:p>
    <w:p>
      <w:pPr>
        <w:pStyle w:val="10"/>
        <w:numPr>
          <w:ilvl w:val="0"/>
          <w:numId w:val="26"/>
        </w:num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Les hydrocarbures.</w:t>
      </w:r>
    </w:p>
    <w:p>
      <w:pPr>
        <w:pStyle w:val="10"/>
        <w:numPr>
          <w:ilvl w:val="0"/>
          <w:numId w:val="26"/>
        </w:num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Les acides aminés, lipides et sucres (hydrate de carbone).</w:t>
      </w:r>
    </w:p>
    <w:p>
      <w:pPr>
        <w:pStyle w:val="10"/>
        <w:numPr>
          <w:ilvl w:val="0"/>
          <w:numId w:val="26"/>
        </w:num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Les sécrétions animales ou végétales, (des organismes aquatiques, virus).</w:t>
      </w:r>
    </w:p>
    <w:p>
      <w:pPr>
        <w:pStyle w:val="10"/>
        <w:numPr>
          <w:ilvl w:val="0"/>
          <w:numId w:val="27"/>
        </w:num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Les micro-organismes tels que les algues (phytoplancton), le zooplancton, les champignons et les bactéries.         </w:t>
      </w:r>
    </w:p>
    <w:p>
      <w:pPr>
        <w:pStyle w:val="10"/>
        <w:numPr>
          <w:ilvl w:val="0"/>
          <w:numId w:val="27"/>
        </w:num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Les débris divers issus de la fragmentation (feuilles mortes à l’automne, résidus de fauche sur les rives).</w:t>
      </w:r>
    </w:p>
    <w:p>
      <w:pPr>
        <w:spacing w:after="0" w:line="360" w:lineRule="auto"/>
        <w:rPr>
          <w:rFonts w:asciiTheme="majorBidi" w:hAnsiTheme="majorBidi" w:cstheme="majorBidi"/>
          <w:color w:val="000000" w:themeColor="text1"/>
          <w:sz w:val="24"/>
          <w:szCs w:val="24"/>
        </w:rPr>
      </w:pPr>
    </w:p>
    <w:p>
      <w:pPr>
        <w:spacing w:after="0" w:line="360" w:lineRule="auto"/>
        <w:rPr>
          <w:rFonts w:asciiTheme="majorBidi" w:hAnsiTheme="majorBidi" w:cstheme="majorBidi"/>
          <w:color w:val="000000" w:themeColor="text1"/>
          <w:sz w:val="24"/>
          <w:szCs w:val="24"/>
        </w:rPr>
      </w:pPr>
    </w:p>
    <w:p>
      <w:pPr>
        <w:spacing w:after="0" w:line="360" w:lineRule="auto"/>
        <w:rPr>
          <w:rFonts w:asciiTheme="majorBidi" w:hAnsiTheme="majorBidi" w:cstheme="majorBidi"/>
          <w:color w:val="000000" w:themeColor="text1"/>
          <w:sz w:val="24"/>
          <w:szCs w:val="24"/>
        </w:rPr>
      </w:pPr>
    </w:p>
    <w:p>
      <w:pPr>
        <w:spacing w:after="0" w:line="360" w:lineRule="auto"/>
        <w:rPr>
          <w:rFonts w:asciiTheme="majorBidi" w:hAnsiTheme="majorBidi" w:cstheme="majorBidi"/>
          <w:color w:val="000000" w:themeColor="text1"/>
          <w:sz w:val="24"/>
          <w:szCs w:val="24"/>
        </w:rPr>
      </w:pPr>
    </w:p>
    <w:p>
      <w:pPr>
        <w:spacing w:after="0" w:line="360" w:lineRule="auto"/>
        <w:rPr>
          <w:rFonts w:asciiTheme="majorBidi" w:hAnsiTheme="majorBidi" w:cstheme="majorBidi"/>
          <w:color w:val="000000" w:themeColor="text1"/>
          <w:sz w:val="24"/>
          <w:szCs w:val="24"/>
        </w:rPr>
      </w:pPr>
    </w:p>
    <w:p>
      <w:pPr>
        <w:spacing w:after="0" w:line="360" w:lineRule="auto"/>
        <w:rPr>
          <w:rFonts w:asciiTheme="majorBidi" w:hAnsiTheme="majorBidi" w:cstheme="majorBidi"/>
          <w:color w:val="000000" w:themeColor="text1"/>
          <w:sz w:val="24"/>
          <w:szCs w:val="24"/>
        </w:rPr>
      </w:pPr>
    </w:p>
    <w:p>
      <w:pPr>
        <w:spacing w:after="0" w:line="360" w:lineRule="auto"/>
        <w:rPr>
          <w:rFonts w:asciiTheme="majorBidi" w:hAnsiTheme="majorBidi" w:cstheme="majorBidi"/>
          <w:color w:val="000000" w:themeColor="text1"/>
          <w:sz w:val="24"/>
          <w:szCs w:val="24"/>
        </w:rPr>
      </w:pPr>
    </w:p>
    <w:p>
      <w:pPr>
        <w:spacing w:after="0" w:line="360" w:lineRule="auto"/>
        <w:rPr>
          <w:rFonts w:asciiTheme="majorBidi" w:hAnsiTheme="majorBidi" w:cstheme="majorBidi"/>
          <w:color w:val="000000" w:themeColor="text1"/>
          <w:sz w:val="24"/>
          <w:szCs w:val="24"/>
        </w:rPr>
      </w:pPr>
    </w:p>
    <w:p>
      <w:pPr>
        <w:spacing w:after="0" w:line="360" w:lineRule="auto"/>
        <w:rPr>
          <w:rFonts w:asciiTheme="majorBidi" w:hAnsiTheme="majorBidi" w:cstheme="majorBidi"/>
          <w:color w:val="000000" w:themeColor="text1"/>
          <w:sz w:val="24"/>
          <w:szCs w:val="24"/>
        </w:rPr>
      </w:pPr>
    </w:p>
    <w:p>
      <w:pPr>
        <w:spacing w:after="0" w:line="360" w:lineRule="auto"/>
        <w:ind w:left="720"/>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Tableau n°19: Quelques-unes des contaminations des eaux potable possibles et leurs conséquences (in Slimani 2015</w:t>
      </w:r>
    </w:p>
    <w:tbl>
      <w:tblPr>
        <w:tblStyle w:val="12"/>
        <w:tblW w:w="9072" w:type="dxa"/>
        <w:tblInd w:w="25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Layout w:type="autofit"/>
        <w:tblCellMar>
          <w:top w:w="0" w:type="dxa"/>
          <w:left w:w="108" w:type="dxa"/>
          <w:bottom w:w="0" w:type="dxa"/>
          <w:right w:w="108" w:type="dxa"/>
        </w:tblCellMar>
      </w:tblPr>
      <w:tblGrid>
        <w:gridCol w:w="4677"/>
        <w:gridCol w:w="4395"/>
      </w:tblGrid>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4677" w:type="dxa"/>
            <w:tcBorders>
              <w:top w:val="single" w:color="4F81BD" w:themeColor="accent1" w:sz="8" w:space="0"/>
              <w:left w:val="single" w:color="4F81BD" w:themeColor="accent1" w:sz="8" w:space="0"/>
              <w:bottom w:val="single" w:color="4F81BD" w:themeColor="accent1" w:sz="18" w:space="0"/>
              <w:right w:val="single" w:color="4F81BD" w:themeColor="accent1" w:sz="8" w:space="0"/>
              <w:insideH w:val="single" w:sz="18" w:space="0"/>
              <w:insideV w:val="single" w:sz="8" w:space="0"/>
            </w:tcBorders>
            <w:vAlign w:val="center"/>
          </w:tcPr>
          <w:p>
            <w:pPr>
              <w:spacing w:before="100" w:beforeAutospacing="1" w:after="100" w:afterAutospacing="1" w:line="360" w:lineRule="auto"/>
              <w:jc w:val="center"/>
              <w:rPr>
                <w:rFonts w:asciiTheme="majorBidi" w:hAnsiTheme="majorBidi" w:eastAsiaTheme="majorEastAsia" w:cstheme="majorBidi"/>
                <w:b w:val="0"/>
                <w:bCs w:val="0"/>
                <w:color w:val="000000" w:themeColor="text1"/>
                <w:sz w:val="24"/>
                <w:szCs w:val="24"/>
              </w:rPr>
            </w:pPr>
            <w:r>
              <w:rPr>
                <w:rFonts w:asciiTheme="majorBidi" w:hAnsiTheme="majorBidi" w:eastAsiaTheme="majorEastAsia" w:cstheme="majorBidi"/>
                <w:b w:val="0"/>
                <w:bCs w:val="0"/>
                <w:color w:val="000000" w:themeColor="text1"/>
                <w:sz w:val="24"/>
                <w:szCs w:val="24"/>
              </w:rPr>
              <w:t>Contamination</w:t>
            </w:r>
          </w:p>
        </w:tc>
        <w:tc>
          <w:tcPr>
            <w:tcW w:w="4395" w:type="dxa"/>
            <w:tcBorders>
              <w:top w:val="single" w:color="4F81BD" w:themeColor="accent1" w:sz="8" w:space="0"/>
              <w:bottom w:val="single" w:color="4F81BD" w:themeColor="accent1" w:sz="18" w:space="0"/>
              <w:right w:val="single" w:color="4F81BD" w:themeColor="accent1" w:sz="8" w:space="0"/>
              <w:insideH w:val="single" w:sz="18" w:space="0"/>
              <w:insideV w:val="single" w:sz="8" w:space="0"/>
            </w:tcBorders>
            <w:vAlign w:val="center"/>
          </w:tcPr>
          <w:p>
            <w:pPr>
              <w:spacing w:before="100" w:beforeAutospacing="1" w:after="100" w:afterAutospacing="1" w:line="360" w:lineRule="auto"/>
              <w:jc w:val="center"/>
              <w:rPr>
                <w:rFonts w:asciiTheme="majorBidi" w:hAnsiTheme="majorBidi" w:eastAsiaTheme="majorEastAsia" w:cstheme="majorBidi"/>
                <w:b w:val="0"/>
                <w:bCs w:val="0"/>
                <w:color w:val="000000" w:themeColor="text1"/>
                <w:sz w:val="24"/>
                <w:szCs w:val="24"/>
              </w:rPr>
            </w:pPr>
            <w:r>
              <w:rPr>
                <w:rFonts w:asciiTheme="majorBidi" w:hAnsiTheme="majorBidi" w:eastAsiaTheme="majorEastAsia" w:cstheme="majorBidi"/>
                <w:b w:val="0"/>
                <w:bCs w:val="0"/>
                <w:color w:val="000000" w:themeColor="text1"/>
                <w:sz w:val="24"/>
                <w:szCs w:val="24"/>
              </w:rPr>
              <w:t>Les conséquences</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467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vAlign w:val="center"/>
          </w:tcPr>
          <w:p>
            <w:pPr>
              <w:spacing w:before="100" w:beforeAutospacing="1" w:after="100" w:afterAutospacing="1" w:line="360" w:lineRule="auto"/>
              <w:jc w:val="center"/>
              <w:rPr>
                <w:rFonts w:asciiTheme="majorBidi" w:hAnsiTheme="majorBidi" w:eastAsiaTheme="majorEastAsia" w:cstheme="majorBidi"/>
                <w:b w:val="0"/>
                <w:bCs w:val="0"/>
                <w:color w:val="000000" w:themeColor="text1"/>
                <w:sz w:val="24"/>
                <w:szCs w:val="24"/>
              </w:rPr>
            </w:pPr>
            <w:r>
              <w:rPr>
                <w:rFonts w:asciiTheme="majorBidi" w:hAnsiTheme="majorBidi" w:eastAsiaTheme="majorEastAsia" w:cstheme="majorBidi"/>
                <w:b w:val="0"/>
                <w:bCs w:val="0"/>
                <w:color w:val="000000" w:themeColor="text1"/>
                <w:sz w:val="24"/>
                <w:szCs w:val="24"/>
              </w:rPr>
              <w:t>Les bactéries</w:t>
            </w:r>
          </w:p>
        </w:tc>
        <w:tc>
          <w:tcPr>
            <w:tcW w:w="43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vAlign w:val="center"/>
          </w:tcPr>
          <w:p>
            <w:pPr>
              <w:spacing w:before="100" w:beforeAutospacing="1" w:after="100" w:afterAutospacing="1"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Diverses maladies comme le choléra, la fièvre typhoïde ou encore la dysenterie</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467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vAlign w:val="center"/>
          </w:tcPr>
          <w:p>
            <w:pPr>
              <w:spacing w:before="100" w:beforeAutospacing="1" w:after="100" w:afterAutospacing="1" w:line="360" w:lineRule="auto"/>
              <w:jc w:val="center"/>
              <w:rPr>
                <w:rFonts w:asciiTheme="majorBidi" w:hAnsiTheme="majorBidi" w:eastAsiaTheme="majorEastAsia" w:cstheme="majorBidi"/>
                <w:b w:val="0"/>
                <w:bCs w:val="0"/>
                <w:color w:val="000000" w:themeColor="text1"/>
                <w:sz w:val="24"/>
                <w:szCs w:val="24"/>
              </w:rPr>
            </w:pPr>
            <w:r>
              <w:rPr>
                <w:rFonts w:asciiTheme="majorBidi" w:hAnsiTheme="majorBidi" w:eastAsiaTheme="majorEastAsia" w:cstheme="majorBidi"/>
                <w:b w:val="0"/>
                <w:bCs w:val="0"/>
                <w:color w:val="000000" w:themeColor="text1"/>
                <w:sz w:val="24"/>
                <w:szCs w:val="24"/>
              </w:rPr>
              <w:t>Les virus</w:t>
            </w:r>
          </w:p>
        </w:tc>
        <w:tc>
          <w:tcPr>
            <w:tcW w:w="43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vAlign w:val="center"/>
          </w:tcPr>
          <w:p>
            <w:pPr>
              <w:spacing w:before="100" w:beforeAutospacing="1" w:after="100" w:afterAutospacing="1"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Hépatite infectieuse</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467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vAlign w:val="center"/>
          </w:tcPr>
          <w:p>
            <w:pPr>
              <w:spacing w:before="100" w:beforeAutospacing="1" w:after="100" w:afterAutospacing="1" w:line="360" w:lineRule="auto"/>
              <w:jc w:val="center"/>
              <w:rPr>
                <w:rFonts w:asciiTheme="majorBidi" w:hAnsiTheme="majorBidi" w:eastAsiaTheme="majorEastAsia" w:cstheme="majorBidi"/>
                <w:b w:val="0"/>
                <w:bCs w:val="0"/>
                <w:color w:val="000000" w:themeColor="text1"/>
                <w:sz w:val="24"/>
                <w:szCs w:val="24"/>
              </w:rPr>
            </w:pPr>
            <w:r>
              <w:rPr>
                <w:rFonts w:asciiTheme="majorBidi" w:hAnsiTheme="majorBidi" w:eastAsiaTheme="majorEastAsia" w:cstheme="majorBidi"/>
                <w:b w:val="0"/>
                <w:bCs w:val="0"/>
                <w:color w:val="000000" w:themeColor="text1"/>
                <w:sz w:val="24"/>
                <w:szCs w:val="24"/>
              </w:rPr>
              <w:t>Les Kystes</w:t>
            </w:r>
          </w:p>
        </w:tc>
        <w:tc>
          <w:tcPr>
            <w:tcW w:w="43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vAlign w:val="center"/>
          </w:tcPr>
          <w:p>
            <w:pPr>
              <w:spacing w:before="100" w:beforeAutospacing="1" w:after="100" w:afterAutospacing="1"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Giardia</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467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vAlign w:val="center"/>
          </w:tcPr>
          <w:p>
            <w:pPr>
              <w:spacing w:before="100" w:beforeAutospacing="1" w:after="100" w:afterAutospacing="1" w:line="360" w:lineRule="auto"/>
              <w:jc w:val="center"/>
              <w:rPr>
                <w:rFonts w:asciiTheme="majorBidi" w:hAnsiTheme="majorBidi" w:eastAsiaTheme="majorEastAsia" w:cstheme="majorBidi"/>
                <w:b w:val="0"/>
                <w:bCs w:val="0"/>
                <w:color w:val="000000" w:themeColor="text1"/>
                <w:sz w:val="24"/>
                <w:szCs w:val="24"/>
              </w:rPr>
            </w:pPr>
            <w:r>
              <w:rPr>
                <w:rFonts w:asciiTheme="majorBidi" w:hAnsiTheme="majorBidi" w:eastAsiaTheme="majorEastAsia" w:cstheme="majorBidi"/>
                <w:b w:val="0"/>
                <w:bCs w:val="0"/>
                <w:color w:val="000000" w:themeColor="text1"/>
                <w:sz w:val="24"/>
                <w:szCs w:val="24"/>
              </w:rPr>
              <w:t>Les parasites qui sont à l’origine de fièvres, diarrhée.</w:t>
            </w:r>
          </w:p>
        </w:tc>
        <w:tc>
          <w:tcPr>
            <w:tcW w:w="43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vAlign w:val="center"/>
          </w:tcPr>
          <w:p>
            <w:pPr>
              <w:spacing w:before="100" w:beforeAutospacing="1" w:after="100" w:afterAutospacing="1"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Des complications si l’infection n’est pas traitée rapidement.</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467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vAlign w:val="center"/>
          </w:tcPr>
          <w:p>
            <w:pPr>
              <w:spacing w:before="100" w:beforeAutospacing="1" w:after="100" w:afterAutospacing="1" w:line="360" w:lineRule="auto"/>
              <w:jc w:val="center"/>
              <w:rPr>
                <w:rFonts w:asciiTheme="majorBidi" w:hAnsiTheme="majorBidi" w:eastAsiaTheme="majorEastAsia" w:cstheme="majorBidi"/>
                <w:b w:val="0"/>
                <w:bCs w:val="0"/>
                <w:color w:val="000000" w:themeColor="text1"/>
                <w:sz w:val="24"/>
                <w:szCs w:val="24"/>
              </w:rPr>
            </w:pPr>
            <w:r>
              <w:rPr>
                <w:rFonts w:asciiTheme="majorBidi" w:hAnsiTheme="majorBidi" w:eastAsiaTheme="majorEastAsia" w:cstheme="majorBidi"/>
                <w:b w:val="0"/>
                <w:bCs w:val="0"/>
                <w:color w:val="000000" w:themeColor="text1"/>
                <w:sz w:val="24"/>
                <w:szCs w:val="24"/>
              </w:rPr>
              <w:t>Les vers parasites</w:t>
            </w:r>
          </w:p>
        </w:tc>
        <w:tc>
          <w:tcPr>
            <w:tcW w:w="43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vAlign w:val="center"/>
          </w:tcPr>
          <w:p>
            <w:pPr>
              <w:spacing w:before="100" w:beforeAutospacing="1" w:after="100" w:afterAutospacing="1"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La bilharziose avec pour symptômes douleurs abdominales. Eruptions cutanées, fatigue chronique. Ce sont les larves (nageant à la surface des eaux infestées) qui sont à l’origine de l’infection, elles peuvent aussi s’introduire par voie cutanée lors de baignades</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467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vAlign w:val="center"/>
          </w:tcPr>
          <w:p>
            <w:pPr>
              <w:spacing w:before="100" w:beforeAutospacing="1" w:after="100" w:afterAutospacing="1" w:line="360" w:lineRule="auto"/>
              <w:jc w:val="center"/>
              <w:rPr>
                <w:rFonts w:asciiTheme="majorBidi" w:hAnsiTheme="majorBidi" w:eastAsiaTheme="majorEastAsia" w:cstheme="majorBidi"/>
                <w:b w:val="0"/>
                <w:bCs w:val="0"/>
                <w:color w:val="000000" w:themeColor="text1"/>
                <w:sz w:val="24"/>
                <w:szCs w:val="24"/>
              </w:rPr>
            </w:pPr>
            <w:r>
              <w:rPr>
                <w:rFonts w:asciiTheme="majorBidi" w:hAnsiTheme="majorBidi" w:eastAsiaTheme="majorEastAsia" w:cstheme="majorBidi"/>
                <w:b w:val="0"/>
                <w:bCs w:val="0"/>
                <w:color w:val="000000" w:themeColor="text1"/>
                <w:sz w:val="24"/>
                <w:szCs w:val="24"/>
              </w:rPr>
              <w:t>Les pollutions chimiques (métaux lourds, insecticides, hydrocarbures)</w:t>
            </w:r>
          </w:p>
        </w:tc>
        <w:tc>
          <w:tcPr>
            <w:tcW w:w="43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vAlign w:val="center"/>
          </w:tcPr>
          <w:p>
            <w:pPr>
              <w:spacing w:before="100" w:beforeAutospacing="1" w:after="100" w:afterAutospacing="1"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Intoxications ; neuro-toxicité ; cancérogénicité</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467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vAlign w:val="center"/>
          </w:tcPr>
          <w:p>
            <w:pPr>
              <w:spacing w:before="100" w:beforeAutospacing="1" w:after="100" w:afterAutospacing="1" w:line="360" w:lineRule="auto"/>
              <w:jc w:val="center"/>
              <w:rPr>
                <w:rFonts w:asciiTheme="majorBidi" w:hAnsiTheme="majorBidi" w:eastAsiaTheme="majorEastAsia" w:cstheme="majorBidi"/>
                <w:b w:val="0"/>
                <w:bCs w:val="0"/>
                <w:color w:val="000000" w:themeColor="text1"/>
                <w:sz w:val="24"/>
                <w:szCs w:val="24"/>
              </w:rPr>
            </w:pPr>
            <w:r>
              <w:rPr>
                <w:rFonts w:asciiTheme="majorBidi" w:hAnsiTheme="majorBidi" w:eastAsiaTheme="majorEastAsia" w:cstheme="majorBidi"/>
                <w:b w:val="0"/>
                <w:bCs w:val="0"/>
                <w:color w:val="000000" w:themeColor="text1"/>
                <w:sz w:val="24"/>
                <w:szCs w:val="24"/>
              </w:rPr>
              <w:t>Les algues ou autres particules en  suspension</w:t>
            </w:r>
          </w:p>
        </w:tc>
        <w:tc>
          <w:tcPr>
            <w:tcW w:w="43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vAlign w:val="center"/>
          </w:tcPr>
          <w:p>
            <w:pPr>
              <w:spacing w:before="100" w:beforeAutospacing="1" w:after="100" w:afterAutospacing="1"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Une intoxication.</w:t>
            </w:r>
          </w:p>
        </w:tc>
      </w:tr>
    </w:tbl>
    <w:p>
      <w:pPr>
        <w:spacing w:after="0" w:line="360" w:lineRule="auto"/>
        <w:rPr>
          <w:rFonts w:asciiTheme="majorBidi" w:hAnsiTheme="majorBidi" w:cstheme="majorBidi"/>
          <w:b/>
          <w:bCs/>
          <w:color w:val="000000" w:themeColor="text1"/>
          <w:sz w:val="24"/>
          <w:szCs w:val="24"/>
        </w:rPr>
      </w:pPr>
    </w:p>
    <w:p>
      <w:p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3.2.3. Métaux lourds :                                                                                                                                </w:t>
      </w:r>
      <w:r>
        <w:rPr>
          <w:rFonts w:asciiTheme="majorBidi" w:hAnsiTheme="majorBidi" w:cstheme="majorBidi"/>
          <w:color w:val="000000" w:themeColor="text1"/>
          <w:sz w:val="24"/>
          <w:szCs w:val="24"/>
        </w:rPr>
        <w:t xml:space="preserve"> Les métaux lourds sont les éléments métalliques ayant une masse volumique supérieure à une valeur de densité (cette valeur varie entre 4000 kg/m</w:t>
      </w:r>
      <w:r>
        <w:rPr>
          <w:rFonts w:asciiTheme="majorBidi" w:hAnsiTheme="majorBidi" w:cstheme="majorBidi"/>
          <w:color w:val="000000" w:themeColor="text1"/>
          <w:sz w:val="24"/>
          <w:szCs w:val="24"/>
          <w:vertAlign w:val="superscript"/>
        </w:rPr>
        <w:t>3</w:t>
      </w:r>
      <w:r>
        <w:rPr>
          <w:rFonts w:asciiTheme="majorBidi" w:hAnsiTheme="majorBidi" w:cstheme="majorBidi"/>
          <w:color w:val="000000" w:themeColor="text1"/>
          <w:sz w:val="24"/>
          <w:szCs w:val="24"/>
        </w:rPr>
        <w:t xml:space="preserve"> et 5000 kg/m</w:t>
      </w:r>
      <w:r>
        <w:rPr>
          <w:rFonts w:asciiTheme="majorBidi" w:hAnsiTheme="majorBidi" w:cstheme="majorBidi"/>
          <w:color w:val="000000" w:themeColor="text1"/>
          <w:sz w:val="24"/>
          <w:szCs w:val="24"/>
          <w:vertAlign w:val="superscript"/>
        </w:rPr>
        <w:t>3</w:t>
      </w:r>
      <w:r>
        <w:rPr>
          <w:rFonts w:asciiTheme="majorBidi" w:hAnsiTheme="majorBidi" w:cstheme="majorBidi"/>
          <w:color w:val="000000" w:themeColor="text1"/>
          <w:sz w:val="24"/>
          <w:szCs w:val="24"/>
        </w:rPr>
        <w:t>), ou bien sont  les éléments métalliques compris entre le cuivre et le plomb dans le tableau périodique des éléments</w:t>
      </w:r>
    </w:p>
    <w:p>
      <w:pPr>
        <w:pStyle w:val="10"/>
        <w:numPr>
          <w:ilvl w:val="0"/>
          <w:numId w:val="25"/>
        </w:num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Origines de pollution par les métaux lourds :</w:t>
      </w:r>
    </w:p>
    <w:p>
      <w:p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La pollution par les métaux lourds se fait par deux voies :</w:t>
      </w:r>
    </w:p>
    <w:p>
      <w:pPr>
        <w:pStyle w:val="10"/>
        <w:numPr>
          <w:ilvl w:val="0"/>
          <w:numId w:val="28"/>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Les apports naturels proviennent de l’érosion naturelle des sols caractérisés par leur niveau géochimique, ils s’y ajoutent l’érosion des sols agricoles déjà contaminés par les retombées atmosphériques.</w:t>
      </w:r>
    </w:p>
    <w:p>
      <w:pPr>
        <w:pStyle w:val="10"/>
        <w:numPr>
          <w:ilvl w:val="0"/>
          <w:numId w:val="28"/>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les apports anthropiques qui proviennent des activités urbaines et industrielles et par l’utilisation des fertilisants dans l’agriculture.  </w:t>
      </w:r>
    </w:p>
    <w:p>
      <w:pPr>
        <w:pStyle w:val="10"/>
        <w:numPr>
          <w:ilvl w:val="0"/>
          <w:numId w:val="25"/>
        </w:numPr>
        <w:spacing w:after="0" w:line="360" w:lineRule="auto"/>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Effets des métaux lourds sur la santé humaine :</w:t>
      </w:r>
    </w:p>
    <w:p>
      <w:p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Nous allons étudier la toxicité de certains métaux lourds sur les êtres vivants, ces métaux sont : </w:t>
      </w:r>
    </w:p>
    <w:p>
      <w:p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p>
    <w:p>
      <w:pPr>
        <w:pStyle w:val="10"/>
        <w:numPr>
          <w:ilvl w:val="0"/>
          <w:numId w:val="29"/>
        </w:num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 Le cadmium (Cd) :</w:t>
      </w:r>
    </w:p>
    <w:p>
      <w:pPr>
        <w:pStyle w:val="10"/>
        <w:numPr>
          <w:ilvl w:val="0"/>
          <w:numId w:val="30"/>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Les lésions rénales et le cancer du poumon figurant parmi les plus graves effets du cadmium sur la santé.</w:t>
      </w:r>
    </w:p>
    <w:p>
      <w:pPr>
        <w:pStyle w:val="10"/>
        <w:numPr>
          <w:ilvl w:val="0"/>
          <w:numId w:val="30"/>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Diarrhée, douleurs d’estomac et vomissements importants.</w:t>
      </w:r>
    </w:p>
    <w:p>
      <w:pPr>
        <w:pStyle w:val="10"/>
        <w:numPr>
          <w:ilvl w:val="0"/>
          <w:numId w:val="30"/>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Problème du système nerveux central, désordre psychologique.</w:t>
      </w:r>
    </w:p>
    <w:p>
      <w:pPr>
        <w:pStyle w:val="10"/>
        <w:numPr>
          <w:ilvl w:val="0"/>
          <w:numId w:val="30"/>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Problème au niveau du système immunitaire.</w:t>
      </w:r>
    </w:p>
    <w:p>
      <w:pPr>
        <w:pStyle w:val="10"/>
        <w:numPr>
          <w:ilvl w:val="0"/>
          <w:numId w:val="30"/>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Altération de l’ADN et développement de cancer.</w:t>
      </w:r>
    </w:p>
    <w:p>
      <w:pPr>
        <w:pStyle w:val="10"/>
        <w:numPr>
          <w:ilvl w:val="0"/>
          <w:numId w:val="30"/>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Chez les travailleurs dans l’industrie de raffinage des métaux, quand on respire du cadmium, cela peut endommager les poumons et même entraîner la mort.</w:t>
      </w:r>
    </w:p>
    <w:p>
      <w:pPr>
        <w:pStyle w:val="10"/>
        <w:numPr>
          <w:ilvl w:val="0"/>
          <w:numId w:val="29"/>
        </w:num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Le plomb :</w:t>
      </w:r>
    </w:p>
    <w:p>
      <w:pPr>
        <w:pStyle w:val="10"/>
        <w:numPr>
          <w:ilvl w:val="0"/>
          <w:numId w:val="31"/>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 plomb constitue un poison du système nerveux, et peut provoquer des dommages irréversibles dans le développement de l’enfant.</w:t>
      </w:r>
    </w:p>
    <w:p>
      <w:pPr>
        <w:pStyle w:val="10"/>
        <w:numPr>
          <w:ilvl w:val="0"/>
          <w:numId w:val="31"/>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 plomb bloque aussi le fonctionnement des enzymes à zinc.</w:t>
      </w:r>
    </w:p>
    <w:p>
      <w:pPr>
        <w:pStyle w:val="10"/>
        <w:numPr>
          <w:ilvl w:val="0"/>
          <w:numId w:val="31"/>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 plomb aussi possède une action inhibitrice sur la synthèse d’hémoglobine provoquant une forme d’anémie et une augmentation du taux sanguin de l’acide 5-aminolévulinique qui est un agent neuropathogène.</w:t>
      </w:r>
    </w:p>
    <w:p>
      <w:pPr>
        <w:pStyle w:val="10"/>
        <w:numPr>
          <w:ilvl w:val="0"/>
          <w:numId w:val="31"/>
        </w:num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 fortes concentrations de plomb dans le sang chez les enfants peuvent avoir des conséquences irréversibles, notamment des troubles d’apprentissage, des problèmes comportementaux et une arriération mentale, des convulsions, un coma et la mort.</w:t>
      </w:r>
    </w:p>
    <w:p>
      <w:pPr>
        <w:pStyle w:val="10"/>
        <w:numPr>
          <w:ilvl w:val="0"/>
          <w:numId w:val="29"/>
        </w:num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Le Zinc : </w:t>
      </w:r>
    </w:p>
    <w:p>
      <w:pPr>
        <w:spacing w:before="100" w:beforeAutospacing="1" w:after="100" w:afterAutospacing="1" w:line="360" w:lineRule="auto"/>
        <w:ind w:firstLine="567"/>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Des réactions immunitaires seraient altérées chez l’homme par l’absorption de trop grandes quantités de zinc. Pour une prise de 100 mg par jour sur une période prolongée, le zinc peut causer une carence en cuivre, de la diarrhée, une irritation gastro-intestinal, la nécrose de tube rénal et la néphrite interstitielle. Un excès de zinc peut aussi endommager le système nerveux central et provoquer un déséquilibre des fonctions immunitaires...ect.</w:t>
      </w:r>
    </w:p>
    <w:p>
      <w:pPr>
        <w:spacing w:before="100" w:beforeAutospacing="1" w:after="100" w:afterAutospacing="1" w:line="360" w:lineRule="auto"/>
        <w:ind w:firstLine="567"/>
        <w:rPr>
          <w:rFonts w:asciiTheme="majorBidi" w:hAnsiTheme="majorBidi" w:cstheme="majorBidi"/>
          <w:color w:val="000000" w:themeColor="text1"/>
          <w:sz w:val="24"/>
          <w:szCs w:val="24"/>
        </w:rPr>
      </w:pPr>
    </w:p>
    <w:p>
      <w:pPr>
        <w:spacing w:before="100" w:beforeAutospacing="1" w:after="100" w:afterAutospacing="1" w:line="360" w:lineRule="auto"/>
        <w:ind w:firstLine="567"/>
        <w:rPr>
          <w:rFonts w:asciiTheme="majorBidi" w:hAnsiTheme="majorBidi" w:cstheme="majorBidi"/>
          <w:color w:val="000000" w:themeColor="text1"/>
          <w:sz w:val="24"/>
          <w:szCs w:val="24"/>
        </w:rPr>
      </w:pPr>
    </w:p>
    <w:p>
      <w:pPr>
        <w:spacing w:before="100" w:beforeAutospacing="1" w:after="100" w:afterAutospacing="1" w:line="360" w:lineRule="auto"/>
        <w:rPr>
          <w:rFonts w:eastAsia="Times New Roman" w:asciiTheme="majorBidi" w:hAnsiTheme="majorBidi" w:cstheme="majorBidi"/>
          <w:b/>
          <w:bCs/>
          <w:color w:val="000000"/>
          <w:kern w:val="36"/>
          <w:sz w:val="24"/>
          <w:szCs w:val="24"/>
        </w:rPr>
      </w:pPr>
    </w:p>
    <w:p>
      <w:pPr>
        <w:spacing w:before="100" w:beforeAutospacing="1" w:after="100" w:afterAutospacing="1" w:line="360" w:lineRule="auto"/>
        <w:rPr>
          <w:rFonts w:eastAsia="Times New Roman" w:asciiTheme="majorBidi" w:hAnsiTheme="majorBidi" w:cstheme="majorBidi"/>
          <w:b/>
          <w:bCs/>
          <w:color w:val="000000"/>
          <w:kern w:val="36"/>
          <w:sz w:val="24"/>
          <w:szCs w:val="24"/>
        </w:rPr>
      </w:pPr>
    </w:p>
    <w:p>
      <w:pPr>
        <w:spacing w:after="0" w:line="360" w:lineRule="auto"/>
        <w:rPr>
          <w:rFonts w:eastAsia="Times New Roman" w:asciiTheme="majorBidi" w:hAnsiTheme="majorBidi" w:cstheme="majorBidi"/>
          <w:b/>
          <w:bCs/>
          <w:color w:val="000000"/>
          <w:kern w:val="36"/>
          <w:sz w:val="24"/>
          <w:szCs w:val="24"/>
        </w:rPr>
      </w:pPr>
      <w:r>
        <w:rPr>
          <w:rFonts w:eastAsia="Times New Roman" w:asciiTheme="majorBidi" w:hAnsiTheme="majorBidi" w:cstheme="majorBidi"/>
          <w:b/>
          <w:bCs/>
          <w:color w:val="000000"/>
          <w:kern w:val="36"/>
          <w:sz w:val="24"/>
          <w:szCs w:val="24"/>
        </w:rPr>
        <w:t xml:space="preserve">3.2.4. Normes  de potabilités des eaux de surface </w:t>
      </w:r>
      <w:r>
        <w:rPr>
          <w:rFonts w:eastAsia="Times New Roman" w:asciiTheme="majorBidi" w:hAnsiTheme="majorBidi" w:cstheme="majorBidi"/>
          <w:color w:val="000000"/>
          <w:kern w:val="36"/>
          <w:sz w:val="24"/>
          <w:szCs w:val="24"/>
        </w:rPr>
        <w:t>(tableau n°20)</w:t>
      </w:r>
      <w:r>
        <w:rPr>
          <w:rFonts w:eastAsia="Times New Roman" w:asciiTheme="majorBidi" w:hAnsiTheme="majorBidi" w:cstheme="majorBidi"/>
          <w:b/>
          <w:bCs/>
          <w:color w:val="000000"/>
          <w:kern w:val="36"/>
          <w:sz w:val="24"/>
          <w:szCs w:val="24"/>
        </w:rPr>
        <w:t> :</w:t>
      </w:r>
    </w:p>
    <w:p>
      <w:pPr>
        <w:spacing w:after="0" w:line="360" w:lineRule="auto"/>
        <w:jc w:val="center"/>
        <w:rPr>
          <w:rFonts w:asciiTheme="majorBidi" w:hAnsiTheme="majorBidi" w:cstheme="majorBidi"/>
          <w:color w:val="000000" w:themeColor="text1"/>
          <w:sz w:val="24"/>
          <w:szCs w:val="24"/>
        </w:rPr>
      </w:pPr>
      <w:r>
        <w:rPr>
          <w:rFonts w:eastAsia="Times New Roman" w:asciiTheme="majorBidi" w:hAnsiTheme="majorBidi" w:cstheme="majorBidi"/>
          <w:color w:val="000000"/>
          <w:kern w:val="36"/>
          <w:sz w:val="24"/>
          <w:szCs w:val="24"/>
        </w:rPr>
        <w:t>Tableau n°20 : les normes de potabilité des eaux de consommation</w:t>
      </w:r>
    </w:p>
    <w:tbl>
      <w:tblPr>
        <w:tblStyle w:val="12"/>
        <w:tblW w:w="0" w:type="auto"/>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Layout w:type="autofit"/>
        <w:tblCellMar>
          <w:top w:w="0" w:type="dxa"/>
          <w:left w:w="108" w:type="dxa"/>
          <w:bottom w:w="0" w:type="dxa"/>
          <w:right w:w="108" w:type="dxa"/>
        </w:tblCellMar>
      </w:tblPr>
      <w:tblGrid>
        <w:gridCol w:w="2248"/>
        <w:gridCol w:w="2203"/>
        <w:gridCol w:w="1213"/>
        <w:gridCol w:w="1064"/>
        <w:gridCol w:w="1214"/>
        <w:gridCol w:w="1063"/>
      </w:tblGrid>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vMerge w:val="restart"/>
            <w:tcBorders>
              <w:top w:val="single" w:color="4F81BD" w:themeColor="accent1" w:sz="8" w:space="0"/>
              <w:left w:val="single" w:color="4F81BD" w:themeColor="accent1" w:sz="8" w:space="0"/>
              <w:bottom w:val="single" w:color="4F81BD" w:themeColor="accent1" w:sz="18" w:space="0"/>
              <w:right w:val="single" w:color="4F81BD" w:themeColor="accent1" w:sz="8" w:space="0"/>
              <w:insideH w:val="single" w:sz="18" w:space="0"/>
              <w:insideV w:val="single" w:sz="8" w:space="0"/>
            </w:tcBorders>
          </w:tcPr>
          <w:p>
            <w:pPr>
              <w:spacing w:before="0"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 xml:space="preserve">Paramètre  </w:t>
            </w:r>
          </w:p>
        </w:tc>
        <w:tc>
          <w:tcPr>
            <w:tcW w:w="2338" w:type="dxa"/>
            <w:vMerge w:val="restart"/>
            <w:tcBorders>
              <w:top w:val="single" w:color="4F81BD" w:themeColor="accent1" w:sz="8" w:space="0"/>
              <w:bottom w:val="single" w:color="4F81BD" w:themeColor="accent1" w:sz="18" w:space="0"/>
              <w:right w:val="single" w:color="4F81BD" w:themeColor="accent1" w:sz="8" w:space="0"/>
              <w:insideH w:val="single" w:sz="18" w:space="0"/>
              <w:insideV w:val="single" w:sz="8" w:space="0"/>
            </w:tcBorders>
          </w:tcPr>
          <w:p>
            <w:pPr>
              <w:spacing w:before="0"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 xml:space="preserve">Unité de mesure </w:t>
            </w:r>
          </w:p>
        </w:tc>
        <w:tc>
          <w:tcPr>
            <w:tcW w:w="2339" w:type="dxa"/>
            <w:gridSpan w:val="2"/>
            <w:tcBorders>
              <w:top w:val="single" w:color="4F81BD" w:themeColor="accent1" w:sz="8" w:space="0"/>
              <w:bottom w:val="single" w:color="4F81BD" w:themeColor="accent1" w:sz="18" w:space="0"/>
              <w:right w:val="single" w:color="4F81BD" w:themeColor="accent1" w:sz="8" w:space="0"/>
              <w:insideH w:val="single" w:sz="18" w:space="0"/>
              <w:insideV w:val="single" w:sz="8" w:space="0"/>
            </w:tcBorders>
          </w:tcPr>
          <w:p>
            <w:pPr>
              <w:spacing w:before="0"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 xml:space="preserve">Norme algérienne </w:t>
            </w:r>
          </w:p>
        </w:tc>
        <w:tc>
          <w:tcPr>
            <w:tcW w:w="2339" w:type="dxa"/>
            <w:gridSpan w:val="2"/>
            <w:tcBorders>
              <w:top w:val="single" w:color="4F81BD" w:themeColor="accent1" w:sz="8" w:space="0"/>
              <w:bottom w:val="single" w:color="4F81BD" w:themeColor="accent1" w:sz="18" w:space="0"/>
              <w:right w:val="single" w:color="4F81BD" w:themeColor="accent1" w:sz="8" w:space="0"/>
              <w:insideH w:val="single" w:sz="18" w:space="0"/>
              <w:insideV w:val="single" w:sz="8" w:space="0"/>
            </w:tcBorders>
          </w:tcPr>
          <w:p>
            <w:pPr>
              <w:spacing w:before="0"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Norme de l’OMS</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vMerge w:val="continue"/>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val="0"/>
                <w:bCs w:val="0"/>
                <w:color w:val="000000"/>
                <w:kern w:val="36"/>
                <w:sz w:val="24"/>
                <w:szCs w:val="24"/>
              </w:rPr>
            </w:pPr>
          </w:p>
        </w:tc>
        <w:tc>
          <w:tcPr>
            <w:tcW w:w="2338" w:type="dxa"/>
            <w:vMerge w:val="continue"/>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bCs/>
                <w:color w:val="000000"/>
                <w:kern w:val="36"/>
                <w:sz w:val="24"/>
                <w:szCs w:val="24"/>
              </w:rPr>
            </w:pP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bCs/>
                <w:color w:val="000000"/>
                <w:kern w:val="36"/>
                <w:sz w:val="24"/>
                <w:szCs w:val="24"/>
              </w:rPr>
            </w:pPr>
            <w:r>
              <w:rPr>
                <w:rFonts w:eastAsia="Times New Roman" w:asciiTheme="majorBidi" w:hAnsiTheme="majorBidi" w:cstheme="majorBidi"/>
                <w:b/>
                <w:bCs/>
                <w:color w:val="000000"/>
                <w:kern w:val="36"/>
                <w:sz w:val="24"/>
                <w:szCs w:val="24"/>
              </w:rPr>
              <w:t xml:space="preserve">Niveau guide </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bCs/>
                <w:color w:val="000000"/>
                <w:kern w:val="36"/>
                <w:sz w:val="24"/>
                <w:szCs w:val="24"/>
              </w:rPr>
            </w:pPr>
            <w:r>
              <w:rPr>
                <w:rFonts w:eastAsia="Times New Roman" w:asciiTheme="majorBidi" w:hAnsiTheme="majorBidi" w:cstheme="majorBidi"/>
                <w:b/>
                <w:bCs/>
                <w:color w:val="000000"/>
                <w:kern w:val="36"/>
                <w:sz w:val="24"/>
                <w:szCs w:val="24"/>
              </w:rPr>
              <w:t>CMA</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bCs/>
                <w:color w:val="000000"/>
                <w:kern w:val="36"/>
                <w:sz w:val="24"/>
                <w:szCs w:val="24"/>
              </w:rPr>
            </w:pPr>
            <w:r>
              <w:rPr>
                <w:rFonts w:eastAsia="Times New Roman" w:asciiTheme="majorBidi" w:hAnsiTheme="majorBidi" w:cstheme="majorBidi"/>
                <w:b/>
                <w:bCs/>
                <w:color w:val="000000"/>
                <w:kern w:val="36"/>
                <w:sz w:val="24"/>
                <w:szCs w:val="24"/>
              </w:rPr>
              <w:t>Niveau guide</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bCs/>
                <w:color w:val="000000"/>
                <w:kern w:val="36"/>
                <w:sz w:val="24"/>
                <w:szCs w:val="24"/>
              </w:rPr>
            </w:pPr>
            <w:r>
              <w:rPr>
                <w:rFonts w:eastAsia="Times New Roman" w:asciiTheme="majorBidi" w:hAnsiTheme="majorBidi" w:cstheme="majorBidi"/>
                <w:b/>
                <w:bCs/>
                <w:color w:val="000000"/>
                <w:kern w:val="36"/>
                <w:sz w:val="24"/>
                <w:szCs w:val="24"/>
              </w:rPr>
              <w:t>CMA</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 xml:space="preserve">Odeur </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Nombre de dilution</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4</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3</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 xml:space="preserve">Gout </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Nombre de dilution</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4</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3</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Couleur</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Pt/Co</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25</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5</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20</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 xml:space="preserve">Turbidité </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NTU</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5</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5</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 xml:space="preserve">Température </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°C</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25</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PH</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6.5-8.5</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6.5-8.5</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 xml:space="preserve">Conductivité </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µs/cm</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2500</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1400</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 xml:space="preserve">TDS </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500</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1500</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TH</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6</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500</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500</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Calcium</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75</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200</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75</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200</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Magnésium</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150</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50</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150</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potassium</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15</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Sodium</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250</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200</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Chlorures</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200</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600</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200</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600</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Sulfates</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200</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400</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400</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Nitrates</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50</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10</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50</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Nitrites</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0.1</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0.5</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Alcalinité</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5-125</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Chlore libre</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0.1-1</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after="0" w:line="240" w:lineRule="auto"/>
              <w:rPr>
                <w:rFonts w:eastAsia="Times New Roman" w:asciiTheme="majorBidi" w:hAnsiTheme="majorBidi" w:cstheme="majorBidi"/>
                <w:color w:val="000000"/>
                <w:kern w:val="36"/>
                <w:sz w:val="24"/>
                <w:szCs w:val="24"/>
              </w:rPr>
            </w:pP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c>
          <w:tcPr>
            <w:tcW w:w="2338"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b w:val="0"/>
                <w:bCs w:val="0"/>
                <w:color w:val="000000"/>
                <w:kern w:val="36"/>
                <w:sz w:val="24"/>
                <w:szCs w:val="24"/>
              </w:rPr>
            </w:pPr>
            <w:r>
              <w:rPr>
                <w:rFonts w:eastAsia="Times New Roman" w:asciiTheme="majorBidi" w:hAnsiTheme="majorBidi" w:cstheme="majorBidi"/>
                <w:b w:val="0"/>
                <w:bCs w:val="0"/>
                <w:color w:val="000000"/>
                <w:kern w:val="36"/>
                <w:sz w:val="24"/>
                <w:szCs w:val="24"/>
              </w:rPr>
              <w:t xml:space="preserve">Bore </w:t>
            </w:r>
          </w:p>
        </w:tc>
        <w:tc>
          <w:tcPr>
            <w:tcW w:w="2338"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mg/l</w:t>
            </w:r>
          </w:p>
        </w:tc>
        <w:tc>
          <w:tcPr>
            <w:tcW w:w="124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09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w:t>
            </w:r>
          </w:p>
        </w:tc>
        <w:tc>
          <w:tcPr>
            <w:tcW w:w="1245"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0.3</w:t>
            </w:r>
          </w:p>
        </w:tc>
        <w:tc>
          <w:tcPr>
            <w:tcW w:w="1094"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rPr>
                <w:rFonts w:eastAsia="Times New Roman" w:asciiTheme="majorBidi" w:hAnsiTheme="majorBidi" w:cstheme="majorBidi"/>
                <w:color w:val="000000"/>
                <w:kern w:val="36"/>
                <w:sz w:val="24"/>
                <w:szCs w:val="24"/>
              </w:rPr>
            </w:pPr>
            <w:r>
              <w:rPr>
                <w:rFonts w:eastAsia="Times New Roman" w:asciiTheme="majorBidi" w:hAnsiTheme="majorBidi" w:cstheme="majorBidi"/>
                <w:color w:val="000000"/>
                <w:kern w:val="36"/>
                <w:sz w:val="24"/>
                <w:szCs w:val="24"/>
              </w:rPr>
              <w:t>1</w:t>
            </w:r>
          </w:p>
        </w:tc>
      </w:tr>
    </w:tbl>
    <w:p>
      <w:pPr>
        <w:spacing w:after="0" w:line="240" w:lineRule="auto"/>
        <w:jc w:val="right"/>
        <w:rPr>
          <w:rFonts w:eastAsia="Times New Roman" w:asciiTheme="majorBidi" w:hAnsiTheme="majorBidi" w:cstheme="majorBidi"/>
          <w:b/>
          <w:bCs/>
          <w:color w:val="000000"/>
          <w:kern w:val="36"/>
          <w:sz w:val="24"/>
          <w:szCs w:val="24"/>
        </w:rPr>
      </w:pPr>
      <w:r>
        <w:rPr>
          <w:rFonts w:eastAsia="Times New Roman" w:asciiTheme="majorBidi" w:hAnsiTheme="majorBidi" w:cstheme="majorBidi"/>
          <w:b/>
          <w:bCs/>
          <w:color w:val="000000"/>
          <w:kern w:val="36"/>
          <w:sz w:val="24"/>
          <w:szCs w:val="24"/>
        </w:rPr>
        <w:t xml:space="preserve">Source : journal officiel </w:t>
      </w:r>
    </w:p>
    <w:p>
      <w:pPr>
        <w:spacing w:after="0" w:line="360" w:lineRule="auto"/>
        <w:rPr>
          <w:rFonts w:asciiTheme="majorBidi" w:hAnsiTheme="majorBidi" w:cstheme="majorBidi"/>
          <w:b/>
          <w:bCs/>
          <w:color w:val="000000" w:themeColor="text1"/>
          <w:sz w:val="24"/>
          <w:szCs w:val="24"/>
        </w:rPr>
      </w:pPr>
      <w:r>
        <w:rPr>
          <w:rFonts w:eastAsia="Times New Roman" w:asciiTheme="majorBidi" w:hAnsiTheme="majorBidi" w:cstheme="majorBidi"/>
          <w:b/>
          <w:bCs/>
          <w:color w:val="000000"/>
          <w:kern w:val="36"/>
          <w:sz w:val="24"/>
          <w:szCs w:val="24"/>
        </w:rPr>
        <w:t>3.2.5.</w:t>
      </w:r>
      <w:r>
        <w:rPr>
          <w:rFonts w:asciiTheme="majorBidi" w:hAnsiTheme="majorBidi" w:cstheme="majorBidi"/>
          <w:b/>
          <w:bCs/>
          <w:color w:val="000000" w:themeColor="text1"/>
          <w:sz w:val="24"/>
          <w:szCs w:val="24"/>
        </w:rPr>
        <w:t xml:space="preserve"> La matière en suspension (MES) :</w:t>
      </w:r>
    </w:p>
    <w:p>
      <w:pPr>
        <w:spacing w:after="0" w:line="360" w:lineRule="auto"/>
        <w:ind w:firstLine="567"/>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Les matières en suspension désignent l’ensemble des matières solides (petites particules de polluants solides qui résistent à la séparation par des méthodes conventionnelles) contenues dans une eau usée et pouvant être retenues par filtration ou par centrifugation, ce sont des matières fines minérales ou organiques insolubles visibles à l’œil nu qui contribuent à la turbidité de l’eau. Elles proviennent de rejets urbains, industriels ou agricoles ainsi que des phénomènes d’érosion des sols liés notamment aux précipitations.</w:t>
      </w:r>
    </w:p>
    <w:p>
      <w:p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4. Traitement des eaux usées :</w:t>
      </w:r>
    </w:p>
    <w:p>
      <w:p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Le traitement des eaux usées est l’ensemble des procédés visant à dépolluer l’eau usée avant son retour dans le milieu naturel ou sa réutilisation. Les eaux usées sont eaux qui à la suite de leur utilisation domestique, commercial ou industrielle sont de nature à polluer les milieux dans les quelles elles seraient déversées. </w:t>
      </w:r>
    </w:p>
    <w:p>
      <w:pPr>
        <w:spacing w:after="0" w:line="360" w:lineRule="auto"/>
        <w:ind w:firstLine="284"/>
        <w:rPr>
          <w:rFonts w:asciiTheme="majorBidi" w:hAnsiTheme="majorBidi" w:cstheme="majorBidi"/>
          <w:color w:val="000000" w:themeColor="text1"/>
          <w:sz w:val="24"/>
          <w:szCs w:val="24"/>
        </w:rPr>
      </w:pPr>
    </w:p>
    <w:p>
      <w:pPr>
        <w:spacing w:after="0" w:line="360" w:lineRule="auto"/>
        <w:ind w:firstLine="284"/>
        <w:rPr>
          <w:rFonts w:asciiTheme="majorBidi" w:hAnsiTheme="majorBidi" w:cstheme="majorBidi"/>
          <w:color w:val="000000" w:themeColor="text1"/>
          <w:sz w:val="24"/>
          <w:szCs w:val="24"/>
        </w:rPr>
      </w:pPr>
    </w:p>
    <w:p>
      <w:pPr>
        <w:spacing w:after="0" w:line="360" w:lineRule="auto"/>
        <w:ind w:firstLine="284"/>
        <w:rPr>
          <w:rFonts w:asciiTheme="majorBidi" w:hAnsiTheme="majorBidi" w:cstheme="majorBidi"/>
          <w:color w:val="000000" w:themeColor="text1"/>
          <w:sz w:val="24"/>
          <w:szCs w:val="24"/>
        </w:rPr>
      </w:pPr>
    </w:p>
    <w:p>
      <w:p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Les principales étapes (figure n°30) :</w:t>
      </w:r>
    </w:p>
    <w:p>
      <w:pPr>
        <w:pStyle w:val="10"/>
        <w:spacing w:after="0" w:line="360" w:lineRule="auto"/>
        <w:ind w:left="0"/>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4.1. Le dégrillage :</w:t>
      </w:r>
    </w:p>
    <w:p>
      <w:pPr>
        <w:pStyle w:val="10"/>
        <w:spacing w:after="0" w:line="360" w:lineRule="auto"/>
        <w:ind w:left="0"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À l’arrivée dans la station, les eaux usées passent à travers des grilles qui retiennent les déchets solides les plus grossiers (papiers, matières plastiques…). Il s’agit d’une simple étape de séparation physique.</w:t>
      </w:r>
    </w:p>
    <w:p>
      <w:pPr>
        <w:spacing w:after="0" w:line="360" w:lineRule="auto"/>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 xml:space="preserve">4.2. Le dessablage : </w:t>
      </w:r>
    </w:p>
    <w:p>
      <w:pPr>
        <w:pStyle w:val="10"/>
        <w:spacing w:after="0" w:line="360" w:lineRule="auto"/>
        <w:ind w:left="0"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Il permet d’ôter le sable et les graviers des eaux usées, qui se déposent au fond d’un bassin où ils sont récupérés.</w:t>
      </w:r>
    </w:p>
    <w:p>
      <w:pPr>
        <w:spacing w:after="0" w:line="360" w:lineRule="auto"/>
        <w:jc w:val="both"/>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4.3. Le déshuilage et dégraissage :</w:t>
      </w:r>
    </w:p>
    <w:p>
      <w:pPr>
        <w:pStyle w:val="10"/>
        <w:spacing w:after="0" w:line="360" w:lineRule="auto"/>
        <w:ind w:left="0" w:firstLine="284"/>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L’injection de bulles d’air permet de faire remonter les huiles et les graisses en surface d’où elles sont éliminées,</w:t>
      </w:r>
    </w:p>
    <w:p>
      <w:pPr>
        <w:spacing w:after="0" w:line="360" w:lineRule="auto"/>
        <w:jc w:val="both"/>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4.4. La floculation/décantation :</w:t>
      </w:r>
    </w:p>
    <w:p>
      <w:pPr>
        <w:pStyle w:val="10"/>
        <w:spacing w:after="0" w:line="360" w:lineRule="auto"/>
        <w:ind w:left="0" w:firstLine="284"/>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Ce traitement physico-chimique permet d’éliminer une forte proportion des matières en suspension.</w:t>
      </w:r>
    </w:p>
    <w:p>
      <w:p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4.5. La clarification :</w:t>
      </w:r>
    </w:p>
    <w:p>
      <w:pPr>
        <w:spacing w:after="0" w:line="360" w:lineRule="auto"/>
        <w:ind w:firstLine="284"/>
        <w:rPr>
          <w:rFonts w:asciiTheme="majorBidi" w:hAnsiTheme="majorBidi" w:cstheme="majorBidi"/>
          <w:b/>
          <w:bCs/>
          <w:color w:val="000000" w:themeColor="text1"/>
          <w:sz w:val="28"/>
          <w:szCs w:val="28"/>
        </w:rPr>
      </w:pPr>
      <w:r>
        <w:rPr>
          <w:rFonts w:asciiTheme="majorBidi" w:hAnsiTheme="majorBidi" w:cstheme="majorBidi"/>
          <w:color w:val="000000" w:themeColor="text1"/>
          <w:sz w:val="24"/>
          <w:szCs w:val="24"/>
        </w:rPr>
        <w:t xml:space="preserve">Elle permet de séparer par décantation  des bactéries qui forment des boues. Les eaux clarifiées sont acheminées vers une canalisation de sortie tandis que les boues sont évacuées vers la filière de traitement des boues.          </w:t>
      </w:r>
    </w:p>
    <w:p>
      <w:p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4.6.  Le traitement biologique : (Le traitement secondaire)                              </w:t>
      </w:r>
    </w:p>
    <w:p>
      <w:pPr>
        <w:spacing w:after="0" w:line="360" w:lineRule="auto"/>
        <w:ind w:firstLine="567"/>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Permet  d'éliminer les pollutions organiques souvent par des procédés biologiques (boues activées, lits bactériens, lagunage,…). </w:t>
      </w:r>
    </w:p>
    <w:p>
      <w:pPr>
        <w:pStyle w:val="10"/>
        <w:numPr>
          <w:ilvl w:val="0"/>
          <w:numId w:val="25"/>
        </w:numPr>
        <w:spacing w:after="0" w:line="360" w:lineRule="auto"/>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Les boues actives (</w:t>
      </w:r>
      <w:r>
        <w:rPr>
          <w:rFonts w:asciiTheme="majorBidi" w:hAnsiTheme="majorBidi" w:cstheme="majorBidi"/>
          <w:color w:val="000000" w:themeColor="text1"/>
          <w:sz w:val="24"/>
          <w:szCs w:val="24"/>
        </w:rPr>
        <w:t>Fig n°27)</w:t>
      </w:r>
      <w:r>
        <w:rPr>
          <w:rFonts w:asciiTheme="majorBidi" w:hAnsiTheme="majorBidi" w:cstheme="majorBidi"/>
          <w:b/>
          <w:bCs/>
          <w:color w:val="000000" w:themeColor="text1"/>
          <w:sz w:val="24"/>
          <w:szCs w:val="24"/>
        </w:rPr>
        <w:t xml:space="preserve"> : </w:t>
      </w:r>
    </w:p>
    <w:p>
      <w:p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Le traitement par boues  activées est très  largement utilisé surtout en Algérie. Il  s’agit d’un réacteur qui   contient les eaux à traiter, dans lequel est injectée une boue chargée de bactéries. Les  bactéries consomment la matière organique et contribuent à L’élimination de l’azote et du  phosphate. L’action des bactéries dans le réacteur nécessite de l’oxygène.                     </w:t>
      </w:r>
    </w:p>
    <w:p>
      <w:pPr>
        <w:spacing w:after="0" w:line="360" w:lineRule="auto"/>
        <w:ind w:firstLine="567"/>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Une épuration biologique (boues activées puis bassin de clarification) permet d’éliminer 90%  des  virus,  60  à  90 % des  bactéries.             </w:t>
      </w:r>
    </w:p>
    <w:p>
      <w:pPr>
        <w:spacing w:after="0" w:line="360" w:lineRule="auto"/>
        <w:ind w:firstLine="567"/>
        <w:rPr>
          <w:rFonts w:asciiTheme="majorBidi" w:hAnsiTheme="majorBidi" w:cstheme="majorBidi"/>
          <w:color w:val="000000" w:themeColor="text1"/>
          <w:sz w:val="24"/>
          <w:szCs w:val="24"/>
        </w:rPr>
      </w:pPr>
    </w:p>
    <w:p>
      <w:pPr>
        <w:spacing w:after="0" w:line="360" w:lineRule="auto"/>
        <w:ind w:firstLine="567"/>
        <w:rPr>
          <w:rFonts w:asciiTheme="majorBidi" w:hAnsiTheme="majorBidi" w:cstheme="majorBidi"/>
          <w:color w:val="000000" w:themeColor="text1"/>
          <w:sz w:val="24"/>
          <w:szCs w:val="24"/>
        </w:rPr>
      </w:pPr>
    </w:p>
    <w:p>
      <w:pPr>
        <w:spacing w:after="0" w:line="360" w:lineRule="auto"/>
        <w:ind w:firstLine="567"/>
        <w:rPr>
          <w:rFonts w:asciiTheme="majorBidi" w:hAnsiTheme="majorBidi" w:cstheme="majorBidi"/>
          <w:color w:val="000000" w:themeColor="text1"/>
          <w:sz w:val="24"/>
          <w:szCs w:val="24"/>
        </w:rPr>
      </w:pPr>
    </w:p>
    <w:p>
      <w:pPr>
        <w:spacing w:after="0" w:line="360" w:lineRule="auto"/>
        <w:ind w:firstLine="567"/>
        <w:rPr>
          <w:rFonts w:asciiTheme="majorBidi" w:hAnsiTheme="majorBidi" w:cstheme="majorBidi"/>
          <w:color w:val="000000" w:themeColor="text1"/>
          <w:sz w:val="24"/>
          <w:szCs w:val="24"/>
        </w:rPr>
      </w:pPr>
    </w:p>
    <w:p>
      <w:pPr>
        <w:spacing w:after="0" w:line="360" w:lineRule="auto"/>
        <w:ind w:firstLine="567"/>
        <w:rPr>
          <w:rFonts w:asciiTheme="majorBidi" w:hAnsiTheme="majorBidi" w:cstheme="majorBidi"/>
          <w:color w:val="000000" w:themeColor="text1"/>
          <w:sz w:val="24"/>
          <w:szCs w:val="24"/>
        </w:rPr>
      </w:pPr>
    </w:p>
    <w:p>
      <w:pPr>
        <w:spacing w:after="0" w:line="360" w:lineRule="auto"/>
        <w:ind w:firstLine="567"/>
        <w:rPr>
          <w:rFonts w:asciiTheme="majorBidi" w:hAnsiTheme="majorBidi" w:cstheme="majorBidi"/>
          <w:color w:val="000000" w:themeColor="text1"/>
          <w:sz w:val="24"/>
          <w:szCs w:val="24"/>
        </w:rPr>
      </w:pPr>
    </w:p>
    <w:p>
      <w:pPr>
        <w:spacing w:after="0" w:line="360" w:lineRule="auto"/>
        <w:ind w:firstLine="567"/>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p>
    <w:p>
      <w:pPr>
        <w:spacing w:after="0" w:line="24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drawing>
          <wp:anchor distT="0" distB="0" distL="114300" distR="114300" simplePos="0" relativeHeight="251674624" behindDoc="0" locked="0" layoutInCell="1" allowOverlap="1">
            <wp:simplePos x="0" y="0"/>
            <wp:positionH relativeFrom="column">
              <wp:posOffset>890270</wp:posOffset>
            </wp:positionH>
            <wp:positionV relativeFrom="paragraph">
              <wp:align>top</wp:align>
            </wp:positionV>
            <wp:extent cx="4276725" cy="1638300"/>
            <wp:effectExtent l="88900" t="22225" r="41275" b="104775"/>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276725" cy="1638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heme="majorBidi" w:hAnsiTheme="majorBidi" w:cstheme="majorBidi"/>
          <w:b/>
          <w:bCs/>
          <w:color w:val="000000" w:themeColor="text1"/>
          <w:sz w:val="24"/>
          <w:szCs w:val="24"/>
        </w:rPr>
        <w:br w:type="textWrapping" w:clear="all"/>
      </w:r>
    </w:p>
    <w:p>
      <w:pPr>
        <w:spacing w:after="0" w:line="24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n°27 : les bassins de boues activées</w:t>
      </w:r>
    </w:p>
    <w:p>
      <w:pPr>
        <w:spacing w:after="0" w:line="240" w:lineRule="auto"/>
        <w:jc w:val="center"/>
        <w:rPr>
          <w:rFonts w:asciiTheme="majorBidi" w:hAnsiTheme="majorBidi" w:cstheme="majorBidi"/>
          <w:color w:val="000000" w:themeColor="text1"/>
          <w:sz w:val="24"/>
          <w:szCs w:val="24"/>
        </w:rPr>
      </w:pPr>
    </w:p>
    <w:p>
      <w:pPr>
        <w:pStyle w:val="10"/>
        <w:numPr>
          <w:ilvl w:val="0"/>
          <w:numId w:val="25"/>
        </w:num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Les lits bactériens</w:t>
      </w:r>
      <w:r>
        <w:rPr>
          <w:rFonts w:asciiTheme="majorBidi" w:hAnsiTheme="majorBidi" w:cstheme="majorBidi"/>
          <w:color w:val="000000" w:themeColor="text1"/>
          <w:sz w:val="24"/>
          <w:szCs w:val="24"/>
        </w:rPr>
        <w:t xml:space="preserve"> (Fig n°28)</w:t>
      </w:r>
      <w:r>
        <w:rPr>
          <w:rFonts w:asciiTheme="majorBidi" w:hAnsiTheme="majorBidi" w:cstheme="majorBidi"/>
          <w:b/>
          <w:bCs/>
          <w:color w:val="000000" w:themeColor="text1"/>
          <w:sz w:val="24"/>
          <w:szCs w:val="24"/>
        </w:rPr>
        <w:t> :</w:t>
      </w:r>
    </w:p>
    <w:p>
      <w:pPr>
        <w:spacing w:after="0" w:line="360" w:lineRule="auto"/>
        <w:ind w:firstLine="284"/>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Une épuration sur lit bactérien est plus efficace qu’un traitement à boues activées car elle  élimine non seulement les virus et les bactéries mais aussi les œufs d’helminthes (20  à  90  %)   et  les kystes de protozoaires</w:t>
      </w:r>
      <w:r>
        <w:rPr>
          <w:rFonts w:asciiTheme="majorBidi" w:hAnsiTheme="majorBidi" w:cstheme="majorBidi"/>
          <w:b/>
          <w:bCs/>
          <w:color w:val="000000" w:themeColor="text1"/>
          <w:sz w:val="24"/>
          <w:szCs w:val="24"/>
        </w:rPr>
        <w:t>.</w:t>
      </w:r>
    </w:p>
    <w:p>
      <w:pPr>
        <w:spacing w:after="0" w:line="360" w:lineRule="auto"/>
        <w:jc w:val="center"/>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drawing>
          <wp:inline distT="0" distB="0" distL="0" distR="0">
            <wp:extent cx="5629275" cy="2209800"/>
            <wp:effectExtent l="53975" t="53975" r="107950" b="1111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629275" cy="22098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after="0"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n°28 : Coupe schématique de lits bactériens</w:t>
      </w:r>
    </w:p>
    <w:p>
      <w:pPr>
        <w:spacing w:after="0" w:line="360" w:lineRule="auto"/>
        <w:jc w:val="center"/>
        <w:rPr>
          <w:rFonts w:asciiTheme="majorBidi" w:hAnsiTheme="majorBidi" w:cstheme="majorBidi"/>
          <w:color w:val="000000" w:themeColor="text1"/>
          <w:sz w:val="24"/>
          <w:szCs w:val="24"/>
        </w:rPr>
      </w:pPr>
    </w:p>
    <w:p>
      <w:pPr>
        <w:pStyle w:val="10"/>
        <w:numPr>
          <w:ilvl w:val="0"/>
          <w:numId w:val="25"/>
        </w:numPr>
        <w:spacing w:after="0" w:line="360" w:lineRule="auto"/>
        <w:rPr>
          <w:rFonts w:asciiTheme="majorBidi" w:hAnsiTheme="majorBidi" w:cstheme="majorBidi"/>
          <w:b/>
          <w:bCs/>
          <w:color w:val="000000" w:themeColor="text1"/>
          <w:sz w:val="28"/>
          <w:szCs w:val="28"/>
        </w:rPr>
      </w:pPr>
      <w:r>
        <w:rPr>
          <w:rFonts w:asciiTheme="majorBidi" w:hAnsiTheme="majorBidi" w:cstheme="majorBidi"/>
          <w:b/>
          <w:bCs/>
          <w:color w:val="000000" w:themeColor="text1"/>
          <w:sz w:val="24"/>
          <w:szCs w:val="24"/>
        </w:rPr>
        <w:t>Le lagunage (</w:t>
      </w:r>
      <w:r>
        <w:rPr>
          <w:rFonts w:asciiTheme="majorBidi" w:hAnsiTheme="majorBidi" w:cstheme="majorBidi"/>
          <w:color w:val="000000" w:themeColor="text1"/>
          <w:sz w:val="24"/>
          <w:szCs w:val="24"/>
        </w:rPr>
        <w:t>Figure 29)</w:t>
      </w:r>
      <w:r>
        <w:rPr>
          <w:rFonts w:asciiTheme="majorBidi" w:hAnsiTheme="majorBidi" w:cstheme="majorBidi"/>
          <w:b/>
          <w:bCs/>
          <w:color w:val="000000" w:themeColor="text1"/>
          <w:sz w:val="24"/>
          <w:szCs w:val="24"/>
        </w:rPr>
        <w:t>:</w:t>
      </w:r>
    </w:p>
    <w:p>
      <w:pPr>
        <w:spacing w:after="0" w:line="360" w:lineRule="auto"/>
        <w:ind w:firstLine="567"/>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 lagunage est une technique d’épuration des eaux usées basée sur la filtration naturelle des eaux par des chaînes alimentaires aquatiques</w:t>
      </w:r>
    </w:p>
    <w:p>
      <w:pPr>
        <w:pStyle w:val="10"/>
        <w:spacing w:after="0" w:line="360" w:lineRule="auto"/>
        <w:ind w:left="0" w:firstLine="567"/>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 lagunage consiste à établir un écoulement lent par gravité des eaux usées dans plusieurs bassins de rétention peu profonds en éliminant le risque d’infiltration dans les eaux souterraines. L’épuration efficace s’obtient en faisant passer l'eau successivement dans les différents bassins. Chacun ayant une fonction différente dans l'épuration. L'eau est filtrée par une succession de plantes aquatiques, de microplanctons et par du gravier.</w:t>
      </w:r>
    </w:p>
    <w:p>
      <w:pPr>
        <w:pStyle w:val="10"/>
        <w:spacing w:after="0" w:line="360" w:lineRule="auto"/>
        <w:ind w:left="0" w:firstLine="284"/>
        <w:rPr>
          <w:rFonts w:asciiTheme="majorBidi" w:hAnsiTheme="majorBidi" w:cstheme="majorBidi"/>
          <w:color w:val="000000" w:themeColor="text1"/>
          <w:sz w:val="24"/>
          <w:szCs w:val="24"/>
        </w:rPr>
      </w:pPr>
      <w:r>
        <w:rPr>
          <w:rFonts w:asciiTheme="majorBidi" w:hAnsiTheme="majorBidi" w:cstheme="majorBidi"/>
          <w:color w:val="000000" w:themeColor="text1"/>
        </w:rPr>
        <w:t xml:space="preserve">Le lagunage présente la caractéristique </w:t>
      </w:r>
      <w:r>
        <w:rPr>
          <w:rFonts w:asciiTheme="majorBidi" w:hAnsiTheme="majorBidi" w:cstheme="majorBidi"/>
          <w:color w:val="000000" w:themeColor="text1"/>
          <w:sz w:val="24"/>
          <w:szCs w:val="24"/>
        </w:rPr>
        <w:t>de nécessiter une surface importante, entre 15 et 20 m² pour 50 jours de consommation d'eau (minimum 10 m² par équivalent/habitant)..</w:t>
      </w:r>
    </w:p>
    <w:p>
      <w:pPr>
        <w:pStyle w:val="10"/>
        <w:spacing w:after="0" w:line="360" w:lineRule="auto"/>
        <w:ind w:left="0"/>
        <w:jc w:val="both"/>
        <w:rPr>
          <w:rFonts w:asciiTheme="majorBidi" w:hAnsiTheme="majorBidi" w:cstheme="majorBidi"/>
          <w:color w:val="000000" w:themeColor="text1"/>
          <w:sz w:val="28"/>
          <w:szCs w:val="28"/>
        </w:rPr>
      </w:pPr>
      <w:r>
        <w:rPr>
          <w:rFonts w:asciiTheme="majorBidi" w:hAnsiTheme="majorBidi" w:cstheme="majorBidi"/>
          <w:color w:val="000000" w:themeColor="text1"/>
          <w:sz w:val="24"/>
          <w:szCs w:val="24"/>
        </w:rPr>
        <w:t>Le lagunage comprend  en  général   trois  types  de  bassins </w:t>
      </w:r>
      <w:r>
        <w:rPr>
          <w:rFonts w:asciiTheme="majorBidi" w:hAnsiTheme="majorBidi" w:cstheme="majorBidi"/>
          <w:color w:val="000000" w:themeColor="text1"/>
          <w:sz w:val="28"/>
          <w:szCs w:val="28"/>
        </w:rPr>
        <w:t>:</w:t>
      </w:r>
    </w:p>
    <w:p>
      <w:pPr>
        <w:pStyle w:val="10"/>
        <w:numPr>
          <w:ilvl w:val="0"/>
          <w:numId w:val="26"/>
        </w:numPr>
        <w:spacing w:after="0" w:line="360" w:lineRule="auto"/>
        <w:jc w:val="both"/>
        <w:rPr>
          <w:rFonts w:asciiTheme="majorBidi" w:hAnsiTheme="majorBidi" w:cstheme="majorBidi"/>
          <w:b/>
          <w:bCs/>
          <w:color w:val="000000" w:themeColor="text1"/>
          <w:sz w:val="28"/>
          <w:szCs w:val="28"/>
        </w:rPr>
      </w:pPr>
      <w:r>
        <w:rPr>
          <w:rFonts w:asciiTheme="majorBidi" w:hAnsiTheme="majorBidi" w:cstheme="majorBidi"/>
          <w:b/>
          <w:bCs/>
          <w:color w:val="000000" w:themeColor="text1"/>
          <w:sz w:val="24"/>
          <w:szCs w:val="24"/>
        </w:rPr>
        <w:t>Le bassin anaérobie</w:t>
      </w:r>
      <w:r>
        <w:rPr>
          <w:rFonts w:asciiTheme="majorBidi" w:hAnsiTheme="majorBidi" w:cstheme="majorBidi"/>
          <w:b/>
          <w:bCs/>
          <w:color w:val="000000" w:themeColor="text1"/>
          <w:sz w:val="28"/>
          <w:szCs w:val="28"/>
        </w:rPr>
        <w:t> :</w:t>
      </w:r>
    </w:p>
    <w:p>
      <w:pPr>
        <w:pStyle w:val="10"/>
        <w:spacing w:after="0" w:line="360" w:lineRule="auto"/>
        <w:ind w:left="0" w:firstLine="284"/>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Il permet de diminuer la charge en matière organique. L’anaérobiose est obtenue en  apportant un effluent très chargé en matière organique</w:t>
      </w:r>
    </w:p>
    <w:p>
      <w:pPr>
        <w:pStyle w:val="10"/>
        <w:numPr>
          <w:ilvl w:val="0"/>
          <w:numId w:val="26"/>
        </w:numPr>
        <w:spacing w:after="0" w:line="360" w:lineRule="auto"/>
        <w:jc w:val="both"/>
        <w:rPr>
          <w:rFonts w:asciiTheme="majorBidi" w:hAnsiTheme="majorBidi" w:cstheme="majorBidi"/>
          <w:b/>
          <w:bCs/>
          <w:color w:val="000000" w:themeColor="text1"/>
          <w:sz w:val="28"/>
          <w:szCs w:val="28"/>
        </w:rPr>
      </w:pPr>
      <w:r>
        <w:rPr>
          <w:rFonts w:asciiTheme="majorBidi" w:hAnsiTheme="majorBidi" w:cstheme="majorBidi"/>
          <w:b/>
          <w:bCs/>
          <w:color w:val="000000" w:themeColor="text1"/>
          <w:sz w:val="24"/>
          <w:szCs w:val="24"/>
        </w:rPr>
        <w:t>Le bassin facultatif </w:t>
      </w:r>
      <w:r>
        <w:rPr>
          <w:rFonts w:asciiTheme="majorBidi" w:hAnsiTheme="majorBidi" w:cstheme="majorBidi"/>
          <w:b/>
          <w:bCs/>
          <w:color w:val="000000" w:themeColor="text1"/>
          <w:sz w:val="28"/>
          <w:szCs w:val="28"/>
        </w:rPr>
        <w:t>:</w:t>
      </w:r>
    </w:p>
    <w:p>
      <w:pPr>
        <w:pStyle w:val="10"/>
        <w:spacing w:before="100" w:beforeAutospacing="1" w:after="100" w:afterAutospacing="1" w:line="360" w:lineRule="auto"/>
        <w:ind w:left="0" w:firstLine="284"/>
        <w:jc w:val="both"/>
        <w:rPr>
          <w:rFonts w:asciiTheme="majorBidi" w:hAnsiTheme="majorBidi" w:cstheme="majorBidi"/>
          <w:b/>
          <w:bCs/>
          <w:color w:val="000000" w:themeColor="text1"/>
          <w:sz w:val="28"/>
          <w:szCs w:val="28"/>
        </w:rPr>
      </w:pPr>
      <w:r>
        <w:rPr>
          <w:rFonts w:asciiTheme="majorBidi" w:hAnsiTheme="majorBidi" w:cstheme="majorBidi"/>
          <w:color w:val="000000" w:themeColor="text1"/>
          <w:sz w:val="24"/>
          <w:szCs w:val="24"/>
        </w:rPr>
        <w:t>Permet le développement d’algues photosynthétiques qui  vont produire de l’oxygène,  tout en diminuant  la charge en matière organique</w:t>
      </w:r>
      <w:r>
        <w:rPr>
          <w:rFonts w:asciiTheme="majorBidi" w:hAnsiTheme="majorBidi" w:cstheme="majorBidi"/>
          <w:b/>
          <w:bCs/>
          <w:color w:val="000000" w:themeColor="text1"/>
          <w:sz w:val="28"/>
          <w:szCs w:val="28"/>
        </w:rPr>
        <w:t xml:space="preserve">.                                                             </w:t>
      </w:r>
    </w:p>
    <w:p>
      <w:pPr>
        <w:pStyle w:val="10"/>
        <w:numPr>
          <w:ilvl w:val="0"/>
          <w:numId w:val="26"/>
        </w:numPr>
        <w:spacing w:before="100" w:beforeAutospacing="1" w:after="100" w:afterAutospacing="1" w:line="360" w:lineRule="auto"/>
        <w:jc w:val="both"/>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le bassin de maturation :</w:t>
      </w:r>
    </w:p>
    <w:p>
      <w:pPr>
        <w:pStyle w:val="10"/>
        <w:spacing w:before="100" w:beforeAutospacing="1" w:after="100" w:afterAutospacing="1" w:line="360" w:lineRule="auto"/>
        <w:ind w:left="0" w:firstLine="284"/>
        <w:jc w:val="both"/>
        <w:rPr>
          <w:rFonts w:asciiTheme="majorBidi" w:hAnsiTheme="majorBidi" w:cstheme="majorBidi"/>
          <w:b/>
          <w:bCs/>
          <w:color w:val="000000" w:themeColor="text1"/>
          <w:sz w:val="24"/>
          <w:szCs w:val="24"/>
        </w:rPr>
      </w:pPr>
      <w:r>
        <w:rPr>
          <w:rFonts w:asciiTheme="majorBidi" w:hAnsiTheme="majorBidi" w:cstheme="majorBidi"/>
          <w:color w:val="000000" w:themeColor="text1"/>
          <w:sz w:val="24"/>
          <w:szCs w:val="24"/>
        </w:rPr>
        <w:t xml:space="preserve">Il va permettre l’élimination des pathogènes sous l’action conjuguée des UV et du  pouvoir germicide de certaines algues. </w:t>
      </w:r>
    </w:p>
    <w:p>
      <w:pPr>
        <w:pStyle w:val="10"/>
        <w:spacing w:after="0" w:line="360" w:lineRule="auto"/>
        <w:ind w:left="0"/>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drawing>
          <wp:inline distT="0" distB="0" distL="0" distR="0">
            <wp:extent cx="5734050" cy="2924175"/>
            <wp:effectExtent l="53975" t="53975" r="117475" b="1079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734050" cy="292417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after="0"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 29: les bassins de lagunage.</w:t>
      </w:r>
    </w:p>
    <w:p>
      <w:pPr>
        <w:spacing w:before="100" w:beforeAutospacing="1" w:after="100" w:afterAutospacing="1"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drawing>
          <wp:inline distT="0" distB="0" distL="0" distR="0">
            <wp:extent cx="5800725" cy="4152900"/>
            <wp:effectExtent l="53975" t="53975" r="114300" b="11112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801916" cy="4153753"/>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before="100" w:beforeAutospacing="1" w:after="100" w:afterAutospacing="1"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 30: Schéma général du traitement des eaux usées.</w:t>
      </w:r>
    </w:p>
    <w:p>
      <w:pPr>
        <w:spacing w:after="0" w:line="360" w:lineRule="auto"/>
        <w:ind w:firstLine="284"/>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 l’échelle mondiale le traitement des eaux usées constitue le 1er enjeu de santé  publique : plus de 4000 enfants de moins de 5 ans meurent chaque jour de diarrhées liées à l’absence de traitement des eaux et au manque d’hygiène induit. Pour cela les processus de traitement des eaux usées et surtout les stations d’épuration qui sont mis en place sont très importantes de point de vue environnemental et sanitaire.</w:t>
      </w:r>
    </w:p>
    <w:p>
      <w:pPr>
        <w:spacing w:after="0" w:line="360" w:lineRule="auto"/>
        <w:jc w:val="both"/>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5. Traitement des eaux de mer (dessalement):</w:t>
      </w:r>
    </w:p>
    <w:p>
      <w:p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Le dessalement de l'eau de mer va tendre à devenir de plus en plus nécessaire dans des Pays où l'accès à l'eau potable est insuffisant, mais il ne peut s'agir d'une solution viable à long terme.</w:t>
      </w:r>
    </w:p>
    <w:p>
      <w:p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Le dessalement doit rester une technique complémentaire, et permettre une transition versus modèle de gestion de l'eau rationalisé</w:t>
      </w:r>
      <w:r>
        <w:rPr>
          <w:rFonts w:asciiTheme="majorBidi" w:hAnsiTheme="majorBidi" w:cstheme="majorBidi"/>
          <w:b/>
          <w:bCs/>
          <w:color w:val="000000" w:themeColor="text1"/>
          <w:sz w:val="28"/>
          <w:szCs w:val="28"/>
        </w:rPr>
        <w:t>.</w:t>
      </w:r>
    </w:p>
    <w:p>
      <w:p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5.1. La distillation (</w:t>
      </w:r>
      <w:r>
        <w:rPr>
          <w:rFonts w:asciiTheme="majorBidi" w:hAnsiTheme="majorBidi" w:cstheme="majorBidi"/>
          <w:color w:val="000000" w:themeColor="text1"/>
          <w:sz w:val="24"/>
          <w:szCs w:val="24"/>
        </w:rPr>
        <w:t>figure n°31)</w:t>
      </w:r>
      <w:r>
        <w:rPr>
          <w:rFonts w:asciiTheme="majorBidi" w:hAnsiTheme="majorBidi" w:cstheme="majorBidi"/>
          <w:b/>
          <w:bCs/>
          <w:color w:val="000000" w:themeColor="text1"/>
          <w:sz w:val="24"/>
          <w:szCs w:val="24"/>
        </w:rPr>
        <w:t> :</w:t>
      </w:r>
    </w:p>
    <w:p>
      <w:p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La distillation consiste à évaporer l’eau de mer, soit en utilisant la chaleur émise par les rayons du soleil, soit en la chauffant dans une chaudière. Seules les molécules d’eau s’échappent, laissant en dépôt les sels dissous et toutes les autres substances contenues dans l’eau de mer. </w:t>
      </w:r>
    </w:p>
    <w:p>
      <w:pPr>
        <w:spacing w:before="100" w:beforeAutospacing="1" w:after="100" w:afterAutospacing="1"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drawing>
          <wp:inline distT="0" distB="0" distL="0" distR="0">
            <wp:extent cx="5048250" cy="1790700"/>
            <wp:effectExtent l="0" t="0" r="635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048250" cy="1790700"/>
                    </a:xfrm>
                    <a:prstGeom prst="rect">
                      <a:avLst/>
                    </a:prstGeom>
                    <a:noFill/>
                    <a:ln>
                      <a:noFill/>
                    </a:ln>
                  </pic:spPr>
                </pic:pic>
              </a:graphicData>
            </a:graphic>
          </wp:inline>
        </w:drawing>
      </w:r>
    </w:p>
    <w:p>
      <w:pPr>
        <w:spacing w:before="100" w:beforeAutospacing="1" w:after="100" w:afterAutospacing="1" w:line="36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4"/>
          <w:szCs w:val="24"/>
        </w:rPr>
        <w:t>Fig n° 31: La distillation par les rayons du soleil</w:t>
      </w:r>
    </w:p>
    <w:p>
      <w:p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5.2. L’osmose inverse :</w:t>
      </w:r>
    </w:p>
    <w:p>
      <w:p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Le but de l'osmose inverse est d'inverser ce phénomène. Il faut faire passer l'eau à travers une membrane semi-perméable grâce à une pression très élevée. La membrane semi-perméable ne laisse passer que les molécules d'eau. </w:t>
      </w:r>
    </w:p>
    <w:p>
      <w:pPr>
        <w:spacing w:after="0" w:line="360" w:lineRule="auto"/>
        <w:jc w:val="both"/>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5.3. L’électrodialyse </w:t>
      </w:r>
      <w:r>
        <w:rPr>
          <w:rFonts w:asciiTheme="majorBidi" w:hAnsiTheme="majorBidi" w:cstheme="majorBidi"/>
          <w:color w:val="000000" w:themeColor="text1"/>
          <w:sz w:val="24"/>
          <w:szCs w:val="24"/>
        </w:rPr>
        <w:t xml:space="preserve">(figure n°32) </w:t>
      </w:r>
      <w:r>
        <w:rPr>
          <w:rFonts w:asciiTheme="majorBidi" w:hAnsiTheme="majorBidi" w:cstheme="majorBidi"/>
          <w:b/>
          <w:bCs/>
          <w:color w:val="000000" w:themeColor="text1"/>
          <w:sz w:val="24"/>
          <w:szCs w:val="24"/>
        </w:rPr>
        <w:t>:</w:t>
      </w:r>
    </w:p>
    <w:p>
      <w:pPr>
        <w:spacing w:after="0" w:line="360" w:lineRule="auto"/>
        <w:ind w:firstLine="284"/>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L'électrodialyse est un procédé chimique qui permet de séparer les ions Na+ et les ions Cl- contenus dans une solution salée afin de ne conserver que les molécules d'eau. Un électro dialyseur est composé de plusieurs compartiments séparés alternativement par des membranes anioniques ou cationiques et à chaque extrémité du système on dispose d’une cathode et d’une anode</w:t>
      </w:r>
    </w:p>
    <w:p>
      <w:p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Une membrane anionique ne laisse passer que les anions, c'est-à-dire les ions Cl, et une membrane cationique ne laisse passer que les cations, c'est-à-dire les ions Na+.</w:t>
      </w:r>
    </w:p>
    <w:p>
      <w:pPr>
        <w:spacing w:before="100" w:beforeAutospacing="1" w:after="100" w:afterAutospacing="1"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drawing>
          <wp:inline distT="0" distB="0" distL="0" distR="0">
            <wp:extent cx="5972175" cy="2295525"/>
            <wp:effectExtent l="53975" t="53975" r="107950" b="11430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984861" cy="2300401"/>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before="100" w:beforeAutospacing="1" w:after="100" w:afterAutospacing="1" w:line="360" w:lineRule="auto"/>
        <w:ind w:firstLine="567"/>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n°32 : Le principe général de L'électrodialyse</w:t>
      </w:r>
    </w:p>
    <w:p>
      <w:pPr>
        <w:spacing w:after="0" w:line="360" w:lineRule="auto"/>
        <w:rPr>
          <w:rFonts w:asciiTheme="majorBidi" w:hAnsiTheme="majorBidi" w:cstheme="majorBidi"/>
          <w:sz w:val="24"/>
          <w:szCs w:val="24"/>
        </w:rPr>
      </w:pPr>
    </w:p>
    <w:p>
      <w:p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6. Exemple d’application : les eaux du barrage d’oued Kramis</w:t>
      </w:r>
    </w:p>
    <w:p>
      <w:pPr>
        <w:pStyle w:val="10"/>
        <w:spacing w:after="0" w:line="360" w:lineRule="auto"/>
        <w:ind w:left="0"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Le barrage de Kramis a pour but de stocker un volume de 45Hm³ et régulariser annuellement un volume de 25Hm³/. </w:t>
      </w:r>
    </w:p>
    <w:p>
      <w:p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6.1. Présentation de la chaine de traitement et les distributions de l’eau de barrage </w:t>
      </w:r>
    </w:p>
    <w:p>
      <w:pPr>
        <w:spacing w:after="0"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kramis : </w:t>
      </w:r>
    </w:p>
    <w:p>
      <w:pPr>
        <w:spacing w:after="0" w:line="360" w:lineRule="auto"/>
        <w:ind w:firstLine="284"/>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La station de traitement des eaux de kramis assure la production d’eau potable pour la région du « Dahra » située à l’Est Mostaganem. Elle alimente plusieurs communes voisines : commune d’ouled boughalame, sidi Lakhdar, hadjaje, sidi Ali, et la commune de Mazouna (wilaya de Relizan). (Figure 33). </w:t>
      </w:r>
    </w:p>
    <w:p>
      <w:pPr>
        <w:spacing w:after="0" w:line="360" w:lineRule="auto"/>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drawing>
          <wp:inline distT="0" distB="0" distL="0" distR="0">
            <wp:extent cx="5648325" cy="4210050"/>
            <wp:effectExtent l="0" t="0" r="3175" b="635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649136" cy="4210654"/>
                    </a:xfrm>
                    <a:prstGeom prst="rect">
                      <a:avLst/>
                    </a:prstGeom>
                    <a:noFill/>
                  </pic:spPr>
                </pic:pic>
              </a:graphicData>
            </a:graphic>
          </wp:inline>
        </w:drawing>
      </w:r>
    </w:p>
    <w:p>
      <w:pPr>
        <w:spacing w:after="0" w:line="360" w:lineRule="auto"/>
        <w:ind w:left="360"/>
        <w:jc w:val="center"/>
        <w:rPr>
          <w:rFonts w:asciiTheme="majorBidi" w:hAnsiTheme="majorBidi" w:cstheme="majorBidi"/>
          <w:b/>
          <w:bCs/>
          <w:color w:val="000000" w:themeColor="text1"/>
          <w:sz w:val="24"/>
          <w:szCs w:val="24"/>
        </w:rPr>
      </w:pPr>
      <w:r>
        <w:rPr>
          <w:rFonts w:asciiTheme="majorBidi" w:hAnsiTheme="majorBidi" w:cstheme="majorBidi"/>
          <w:color w:val="000000" w:themeColor="text1"/>
          <w:sz w:val="24"/>
          <w:szCs w:val="24"/>
        </w:rPr>
        <w:t>Fig n°33: Schémas générale du procédé de traitement de la zone Est de                                                    la wilaya de Mostaganem</w:t>
      </w:r>
      <w:r>
        <w:rPr>
          <w:rFonts w:asciiTheme="majorBidi" w:hAnsiTheme="majorBidi" w:cstheme="majorBidi"/>
          <w:b/>
          <w:bCs/>
          <w:color w:val="000000" w:themeColor="text1"/>
          <w:sz w:val="24"/>
          <w:szCs w:val="24"/>
        </w:rPr>
        <w:t>.</w:t>
      </w:r>
    </w:p>
    <w:p>
      <w:pPr>
        <w:spacing w:after="0" w:line="36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L’eau provenant du barrage par gravité suit la filière de traitement suivante : </w:t>
      </w:r>
    </w:p>
    <w:p>
      <w:pPr>
        <w:spacing w:after="0" w:line="360" w:lineRule="auto"/>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drawing>
          <wp:inline distT="0" distB="0" distL="0" distR="0">
            <wp:extent cx="5578475" cy="3800475"/>
            <wp:effectExtent l="0" t="0" r="9525"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578475" cy="3800475"/>
                    </a:xfrm>
                    <a:prstGeom prst="rect">
                      <a:avLst/>
                    </a:prstGeom>
                    <a:noFill/>
                  </pic:spPr>
                </pic:pic>
              </a:graphicData>
            </a:graphic>
          </wp:inline>
        </w:drawing>
      </w:r>
    </w:p>
    <w:p>
      <w:pPr>
        <w:tabs>
          <w:tab w:val="left" w:pos="1395"/>
        </w:tabs>
        <w:spacing w:after="0" w:line="360" w:lineRule="auto"/>
        <w:jc w:val="center"/>
        <w:rPr>
          <w:rFonts w:asciiTheme="majorBidi" w:hAnsiTheme="majorBidi" w:cstheme="majorBidi"/>
          <w:sz w:val="24"/>
          <w:szCs w:val="24"/>
        </w:rPr>
      </w:pPr>
      <w:r>
        <w:rPr>
          <w:rFonts w:asciiTheme="majorBidi" w:hAnsiTheme="majorBidi" w:cstheme="majorBidi"/>
          <w:sz w:val="24"/>
          <w:szCs w:val="24"/>
        </w:rPr>
        <w:t>Fig n°34 : chemin représentative de la station de traitement.</w:t>
      </w:r>
    </w:p>
    <w:p>
      <w:pPr>
        <w:tabs>
          <w:tab w:val="left" w:pos="1395"/>
        </w:tabs>
        <w:spacing w:after="0" w:line="360" w:lineRule="auto"/>
        <w:rPr>
          <w:rFonts w:asciiTheme="majorBidi" w:hAnsiTheme="majorBidi" w:cstheme="majorBidi"/>
          <w:b/>
          <w:bCs/>
          <w:sz w:val="24"/>
          <w:szCs w:val="24"/>
        </w:rPr>
      </w:pPr>
      <w:r>
        <w:rPr>
          <w:rFonts w:asciiTheme="majorBidi" w:hAnsiTheme="majorBidi" w:cstheme="majorBidi"/>
          <w:b/>
          <w:bCs/>
          <w:sz w:val="24"/>
          <w:szCs w:val="24"/>
        </w:rPr>
        <w:t>6.2.  Le traitement  des eaux de barrage Kramis</w:t>
      </w:r>
      <w:r>
        <w:rPr>
          <w:rFonts w:asciiTheme="majorBidi" w:hAnsiTheme="majorBidi" w:cstheme="majorBidi"/>
          <w:sz w:val="24"/>
          <w:szCs w:val="24"/>
        </w:rPr>
        <w:t xml:space="preserve"> (Fig n°34)</w:t>
      </w:r>
      <w:r>
        <w:rPr>
          <w:rFonts w:asciiTheme="majorBidi" w:hAnsiTheme="majorBidi" w:cstheme="majorBidi"/>
          <w:b/>
          <w:bCs/>
          <w:sz w:val="24"/>
          <w:szCs w:val="24"/>
        </w:rPr>
        <w:t xml:space="preserve"> :</w:t>
      </w:r>
    </w:p>
    <w:p>
      <w:pPr>
        <w:pStyle w:val="10"/>
        <w:numPr>
          <w:ilvl w:val="0"/>
          <w:numId w:val="25"/>
        </w:numPr>
        <w:tabs>
          <w:tab w:val="left" w:pos="1395"/>
        </w:tabs>
        <w:spacing w:after="0" w:line="360" w:lineRule="auto"/>
        <w:rPr>
          <w:rFonts w:asciiTheme="majorBidi" w:hAnsiTheme="majorBidi" w:cstheme="majorBidi"/>
          <w:b/>
          <w:bCs/>
          <w:sz w:val="24"/>
          <w:szCs w:val="24"/>
        </w:rPr>
      </w:pPr>
      <w:r>
        <w:rPr>
          <w:rFonts w:asciiTheme="majorBidi" w:hAnsiTheme="majorBidi" w:cstheme="majorBidi"/>
          <w:b/>
          <w:bCs/>
          <w:sz w:val="24"/>
          <w:szCs w:val="24"/>
        </w:rPr>
        <w:t>Aération (</w:t>
      </w:r>
      <w:r>
        <w:rPr>
          <w:rFonts w:asciiTheme="majorBidi" w:hAnsiTheme="majorBidi" w:cstheme="majorBidi"/>
          <w:sz w:val="24"/>
          <w:szCs w:val="24"/>
        </w:rPr>
        <w:t xml:space="preserve"> Fig n° 35)</w:t>
      </w:r>
      <w:r>
        <w:rPr>
          <w:rFonts w:asciiTheme="majorBidi" w:hAnsiTheme="majorBidi" w:cstheme="majorBidi"/>
          <w:b/>
          <w:bCs/>
          <w:sz w:val="24"/>
          <w:szCs w:val="24"/>
        </w:rPr>
        <w:t> :</w:t>
      </w:r>
    </w:p>
    <w:p>
      <w:pPr>
        <w:tabs>
          <w:tab w:val="left" w:pos="1395"/>
        </w:tabs>
        <w:spacing w:after="0" w:line="360" w:lineRule="auto"/>
        <w:ind w:firstLine="567"/>
        <w:jc w:val="both"/>
        <w:rPr>
          <w:rFonts w:asciiTheme="majorBidi" w:hAnsiTheme="majorBidi" w:cstheme="majorBidi"/>
          <w:sz w:val="24"/>
          <w:szCs w:val="24"/>
        </w:rPr>
      </w:pPr>
      <w:r>
        <w:rPr>
          <w:rFonts w:asciiTheme="majorBidi" w:hAnsiTheme="majorBidi" w:cstheme="majorBidi"/>
          <w:sz w:val="24"/>
          <w:szCs w:val="24"/>
        </w:rPr>
        <w:t xml:space="preserve">L’eau brute venant du barrage  passe à travers une cascade d’aération  pour traiter le déficit en oxygène.                                                                                                                                  </w:t>
      </w:r>
    </w:p>
    <w:p>
      <w:pPr>
        <w:tabs>
          <w:tab w:val="left" w:pos="1395"/>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Ils injectes de l’acide pour ajuster le PH  d’eau brute afin de favoriser la coagulation  de la soude de façon occasionnelle. </w:t>
      </w:r>
    </w:p>
    <w:p>
      <w:pPr>
        <w:tabs>
          <w:tab w:val="left" w:pos="1395"/>
        </w:tabs>
        <w:spacing w:line="360" w:lineRule="auto"/>
        <w:rPr>
          <w:rFonts w:asciiTheme="majorBidi" w:hAnsiTheme="majorBidi" w:cstheme="majorBidi"/>
          <w:sz w:val="24"/>
          <w:szCs w:val="24"/>
        </w:rPr>
      </w:pPr>
      <w:r>
        <w:rPr>
          <w:rFonts w:asciiTheme="majorBidi" w:hAnsiTheme="majorBidi" w:cstheme="majorBidi"/>
          <w:sz w:val="24"/>
          <w:szCs w:val="24"/>
        </w:rPr>
        <w:drawing>
          <wp:inline distT="0" distB="0" distL="0" distR="0">
            <wp:extent cx="2588260" cy="216217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590800" cy="2164006"/>
                    </a:xfrm>
                    <a:prstGeom prst="rect">
                      <a:avLst/>
                    </a:prstGeom>
                    <a:noFill/>
                  </pic:spPr>
                </pic:pic>
              </a:graphicData>
            </a:graphic>
          </wp:inline>
        </w:drawing>
      </w:r>
      <w:r>
        <w:rPr>
          <w:rFonts w:asciiTheme="majorBidi" w:hAnsiTheme="majorBidi" w:cstheme="majorBidi"/>
          <w:sz w:val="24"/>
          <w:szCs w:val="24"/>
        </w:rPr>
        <w:drawing>
          <wp:inline distT="0" distB="0" distL="0" distR="0">
            <wp:extent cx="2971800" cy="221488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974975" cy="2217379"/>
                    </a:xfrm>
                    <a:prstGeom prst="rect">
                      <a:avLst/>
                    </a:prstGeom>
                    <a:noFill/>
                  </pic:spPr>
                </pic:pic>
              </a:graphicData>
            </a:graphic>
          </wp:inline>
        </w:drawing>
      </w:r>
    </w:p>
    <w:p>
      <w:pPr>
        <w:tabs>
          <w:tab w:val="left" w:pos="1395"/>
        </w:tabs>
        <w:spacing w:line="360" w:lineRule="auto"/>
        <w:rPr>
          <w:rFonts w:asciiTheme="majorBidi" w:hAnsiTheme="majorBidi" w:cstheme="majorBidi"/>
          <w:sz w:val="24"/>
          <w:szCs w:val="24"/>
        </w:rPr>
      </w:pPr>
      <w:r>
        <w:rPr>
          <w:rFonts w:asciiTheme="majorBidi" w:hAnsiTheme="majorBidi" w:cstheme="majorBidi"/>
          <w:sz w:val="24"/>
          <w:szCs w:val="24"/>
        </w:rPr>
        <w:t xml:space="preserve">         Fig n° 35: Cascade d’aération                             Fig n° 36:   Pré-chloration</w:t>
      </w:r>
    </w:p>
    <w:p>
      <w:pPr>
        <w:tabs>
          <w:tab w:val="left" w:pos="1395"/>
        </w:tabs>
        <w:spacing w:line="360" w:lineRule="auto"/>
        <w:rPr>
          <w:rFonts w:asciiTheme="majorBidi" w:hAnsiTheme="majorBidi" w:cstheme="majorBidi"/>
          <w:sz w:val="24"/>
          <w:szCs w:val="24"/>
        </w:rPr>
      </w:pPr>
    </w:p>
    <w:p>
      <w:pPr>
        <w:pStyle w:val="10"/>
        <w:numPr>
          <w:ilvl w:val="0"/>
          <w:numId w:val="25"/>
        </w:numPr>
        <w:spacing w:after="0" w:line="360" w:lineRule="auto"/>
        <w:rPr>
          <w:rFonts w:asciiTheme="majorBidi" w:hAnsiTheme="majorBidi" w:cstheme="majorBidi"/>
          <w:b/>
          <w:bCs/>
          <w:sz w:val="24"/>
          <w:szCs w:val="24"/>
        </w:rPr>
      </w:pPr>
      <w:r>
        <w:rPr>
          <w:rFonts w:asciiTheme="majorBidi" w:hAnsiTheme="majorBidi" w:cstheme="majorBidi"/>
          <w:b/>
          <w:bCs/>
          <w:sz w:val="24"/>
          <w:szCs w:val="24"/>
        </w:rPr>
        <w:t>Pré-chloration (</w:t>
      </w:r>
      <w:r>
        <w:rPr>
          <w:rFonts w:asciiTheme="majorBidi" w:hAnsiTheme="majorBidi" w:cstheme="majorBidi"/>
          <w:sz w:val="24"/>
          <w:szCs w:val="24"/>
        </w:rPr>
        <w:t>Figure 36)</w:t>
      </w:r>
    </w:p>
    <w:p>
      <w:pPr>
        <w:spacing w:after="0" w:line="360" w:lineRule="auto"/>
        <w:ind w:firstLine="567"/>
        <w:rPr>
          <w:rFonts w:asciiTheme="majorBidi" w:hAnsiTheme="majorBidi" w:cstheme="majorBidi"/>
          <w:sz w:val="24"/>
          <w:szCs w:val="24"/>
        </w:rPr>
      </w:pPr>
      <w:r>
        <w:rPr>
          <w:rFonts w:asciiTheme="majorBidi" w:hAnsiTheme="majorBidi" w:cstheme="majorBidi"/>
          <w:sz w:val="24"/>
          <w:szCs w:val="24"/>
        </w:rPr>
        <w:t xml:space="preserve">Injection du chlore sous forme d’hypochlorite de sodium ou de calcium  afin d’assurer l’étape d’oxydation.                                                                                                                                                  La présence des chicanes permet  d’avoir un temps de contact adéquat avec le chlore injecté.                        Cette étape pour oxydation de la matière organique présente dans l’eau brute avec des base de chlore et  avec élimination de  l’azote (NH4+et NO2-). </w:t>
      </w:r>
    </w:p>
    <w:p>
      <w:pPr>
        <w:pStyle w:val="10"/>
        <w:numPr>
          <w:ilvl w:val="0"/>
          <w:numId w:val="25"/>
        </w:numPr>
        <w:spacing w:after="0" w:line="360" w:lineRule="auto"/>
        <w:rPr>
          <w:rFonts w:asciiTheme="majorBidi" w:hAnsiTheme="majorBidi" w:cstheme="majorBidi"/>
          <w:b/>
          <w:bCs/>
          <w:sz w:val="24"/>
          <w:szCs w:val="24"/>
        </w:rPr>
      </w:pPr>
      <w:r>
        <w:rPr>
          <w:rFonts w:asciiTheme="majorBidi" w:hAnsiTheme="majorBidi" w:cstheme="majorBidi"/>
          <w:b/>
          <w:bCs/>
          <w:color w:val="000000" w:themeColor="text1"/>
          <w:sz w:val="24"/>
          <w:szCs w:val="24"/>
        </w:rPr>
        <w:t>Les formes de chlore dans l’eau : </w:t>
      </w:r>
    </w:p>
    <w:p>
      <w:pPr>
        <w:spacing w:after="0" w:line="360" w:lineRule="auto"/>
        <w:ind w:firstLine="284"/>
        <w:rPr>
          <w:rFonts w:asciiTheme="majorBidi" w:hAnsiTheme="majorBidi" w:cstheme="majorBidi"/>
          <w:sz w:val="24"/>
          <w:szCs w:val="24"/>
        </w:rPr>
      </w:pPr>
      <w:r>
        <w:rPr>
          <w:rFonts w:asciiTheme="majorBidi" w:hAnsiTheme="majorBidi" w:cstheme="majorBidi"/>
          <w:color w:val="FF0000"/>
          <w:sz w:val="24"/>
          <w:szCs w:val="24"/>
        </w:rPr>
        <w:t xml:space="preserve"> </w:t>
      </w:r>
      <w:r>
        <w:rPr>
          <w:rFonts w:asciiTheme="majorBidi" w:hAnsiTheme="majorBidi" w:cstheme="majorBidi"/>
          <w:sz w:val="24"/>
          <w:szCs w:val="24"/>
        </w:rPr>
        <w:t xml:space="preserve">réactions d’équilibres de chlore dans l’eau :                                                                                                         </w:t>
      </w:r>
      <w:r>
        <w:rPr>
          <w:rFonts w:asciiTheme="majorBidi" w:hAnsiTheme="majorBidi" w:cstheme="majorBidi"/>
          <w:sz w:val="24"/>
          <w:szCs w:val="24"/>
          <w:lang w:val="it-IT"/>
        </w:rPr>
        <w:t>CI</w:t>
      </w:r>
      <w:r>
        <w:rPr>
          <w:rFonts w:asciiTheme="majorBidi" w:hAnsiTheme="majorBidi" w:cstheme="majorBidi"/>
          <w:sz w:val="24"/>
          <w:szCs w:val="24"/>
          <w:vertAlign w:val="subscript"/>
          <w:lang w:val="it-IT"/>
        </w:rPr>
        <w:t>2</w:t>
      </w:r>
      <w:r>
        <w:rPr>
          <w:rFonts w:asciiTheme="majorBidi" w:hAnsiTheme="majorBidi" w:cstheme="majorBidi"/>
          <w:sz w:val="24"/>
          <w:szCs w:val="24"/>
          <w:lang w:val="it-IT"/>
        </w:rPr>
        <w:t>+H</w:t>
      </w:r>
      <w:r>
        <w:rPr>
          <w:rFonts w:asciiTheme="majorBidi" w:hAnsiTheme="majorBidi" w:cstheme="majorBidi"/>
          <w:sz w:val="24"/>
          <w:szCs w:val="24"/>
          <w:vertAlign w:val="subscript"/>
          <w:lang w:val="it-IT"/>
        </w:rPr>
        <w:t>2</w:t>
      </w:r>
      <w:r>
        <w:rPr>
          <w:rFonts w:asciiTheme="majorBidi" w:hAnsiTheme="majorBidi" w:cstheme="majorBidi"/>
          <w:sz w:val="24"/>
          <w:szCs w:val="24"/>
          <w:lang w:val="it-IT"/>
        </w:rPr>
        <w:t xml:space="preserve">O→HCLO +HCL                                                                                                                                                     HC LO → CLO + H                                                                                                                                                 </w:t>
      </w:r>
      <w:r>
        <w:rPr>
          <w:rFonts w:asciiTheme="majorBidi" w:hAnsiTheme="majorBidi" w:cstheme="majorBidi"/>
          <w:sz w:val="24"/>
          <w:szCs w:val="24"/>
        </w:rPr>
        <w:t>Le sons de déplacement de ces réactions dépend du PH :                                                               PH&lt;2, tout  le chlore est sous forme moléculaire (CL</w:t>
      </w:r>
      <w:r>
        <w:rPr>
          <w:rFonts w:asciiTheme="majorBidi" w:hAnsiTheme="majorBidi" w:cstheme="majorBidi"/>
          <w:sz w:val="24"/>
          <w:szCs w:val="24"/>
          <w:vertAlign w:val="subscript"/>
        </w:rPr>
        <w:t>2</w:t>
      </w:r>
      <w:r>
        <w:rPr>
          <w:rFonts w:asciiTheme="majorBidi" w:hAnsiTheme="majorBidi" w:cstheme="majorBidi"/>
          <w:sz w:val="24"/>
          <w:szCs w:val="24"/>
        </w:rPr>
        <w:t>)                                                                                               PH =5 tout le chlore est sous forme d’acide hypochloreux (HCLO-)                                                            PH=10  tout le chlore est sous forme d’acide hypochlorite (CLO</w:t>
      </w:r>
      <w:r>
        <w:rPr>
          <w:rFonts w:asciiTheme="majorBidi" w:hAnsiTheme="majorBidi" w:cstheme="majorBidi"/>
          <w:sz w:val="24"/>
          <w:szCs w:val="24"/>
          <w:vertAlign w:val="superscript"/>
        </w:rPr>
        <w:t>-</w:t>
      </w:r>
      <w:r>
        <w:rPr>
          <w:rFonts w:asciiTheme="majorBidi" w:hAnsiTheme="majorBidi" w:cstheme="majorBidi"/>
          <w:sz w:val="24"/>
          <w:szCs w:val="24"/>
        </w:rPr>
        <w:t>)                                                                    Entre PH=5  et PH =10, cas habituel des eaux  traitées   au chlore, il y’ a un mélange d’hypochlorite et d’acide hypochloreux  (HCLO+CLO).                                                                                                                                  L’effet bactéricide du chlore est maximal lorsque le chlore est  sous forme  HCLO</w:t>
      </w:r>
      <w:r>
        <w:rPr>
          <w:rFonts w:asciiTheme="majorBidi" w:hAnsiTheme="majorBidi" w:cstheme="majorBidi"/>
          <w:sz w:val="24"/>
          <w:szCs w:val="24"/>
          <w:vertAlign w:val="superscript"/>
        </w:rPr>
        <w:t>-</w:t>
      </w:r>
      <w:r>
        <w:rPr>
          <w:rFonts w:asciiTheme="majorBidi" w:hAnsiTheme="majorBidi" w:cstheme="majorBidi"/>
          <w:sz w:val="24"/>
          <w:szCs w:val="24"/>
        </w:rPr>
        <w:t xml:space="preserve"> (acide  hypochloreux).                                                                                                                         </w:t>
      </w:r>
    </w:p>
    <w:p>
      <w:pPr>
        <w:spacing w:after="0" w:line="360" w:lineRule="auto"/>
        <w:ind w:firstLine="567"/>
        <w:rPr>
          <w:rFonts w:asciiTheme="majorBidi" w:hAnsiTheme="majorBidi" w:cstheme="majorBidi"/>
          <w:sz w:val="24"/>
          <w:szCs w:val="24"/>
        </w:rPr>
      </w:pPr>
      <w:r>
        <w:rPr>
          <w:rFonts w:asciiTheme="majorBidi" w:hAnsiTheme="majorBidi" w:cstheme="majorBidi"/>
          <w:sz w:val="24"/>
          <w:szCs w:val="24"/>
        </w:rPr>
        <w:t xml:space="preserve"> La demande en chlore est déterminée au laboratoire par la méthode du break point en mesurant le chlore résiduel après un temps de contact de  (60-120) minutes avec des croissants</w:t>
      </w:r>
    </w:p>
    <w:p>
      <w:pPr>
        <w:spacing w:after="0" w:line="360" w:lineRule="auto"/>
        <w:jc w:val="center"/>
        <w:rPr>
          <w:rFonts w:asciiTheme="majorBidi" w:hAnsiTheme="majorBidi" w:cstheme="majorBidi"/>
          <w:b/>
          <w:bCs/>
          <w:sz w:val="26"/>
          <w:szCs w:val="26"/>
        </w:rPr>
      </w:pPr>
      <w:r>
        <w:rPr>
          <w:rFonts w:asciiTheme="majorBidi" w:hAnsiTheme="majorBidi" w:cstheme="majorBidi"/>
          <w:sz w:val="24"/>
          <w:szCs w:val="24"/>
        </w:rPr>
        <w:drawing>
          <wp:inline distT="0" distB="0" distL="0" distR="0">
            <wp:extent cx="5038725" cy="2381250"/>
            <wp:effectExtent l="0" t="0" r="3175" b="6350"/>
            <wp:docPr id="41" name="Image 41" descr="C:\Users\belaribi med\Desktop\nna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C:\Users\belaribi med\Desktop\nnatt.PNG"/>
                    <pic:cNvPicPr>
                      <a:picLocks noChangeAspect="1" noChangeArrowheads="1"/>
                    </pic:cNvPicPr>
                  </pic:nvPicPr>
                  <pic:blipFill>
                    <a:blip r:embed="rId45"/>
                    <a:srcRect/>
                    <a:stretch>
                      <a:fillRect/>
                    </a:stretch>
                  </pic:blipFill>
                  <pic:spPr>
                    <a:xfrm>
                      <a:off x="0" y="0"/>
                      <a:ext cx="5038725" cy="2381250"/>
                    </a:xfrm>
                    <a:prstGeom prst="rect">
                      <a:avLst/>
                    </a:prstGeom>
                    <a:noFill/>
                    <a:ln w="9525">
                      <a:noFill/>
                      <a:miter lim="800000"/>
                      <a:headEnd/>
                      <a:tailEnd/>
                    </a:ln>
                  </pic:spPr>
                </pic:pic>
              </a:graphicData>
            </a:graphic>
          </wp:inline>
        </w:drawing>
      </w:r>
    </w:p>
    <w:p>
      <w:pPr>
        <w:spacing w:after="0" w:line="360" w:lineRule="auto"/>
        <w:jc w:val="center"/>
        <w:rPr>
          <w:rFonts w:asciiTheme="majorBidi" w:hAnsiTheme="majorBidi" w:cstheme="majorBidi"/>
          <w:sz w:val="24"/>
          <w:szCs w:val="24"/>
        </w:rPr>
      </w:pPr>
      <w:r>
        <w:rPr>
          <w:rFonts w:asciiTheme="majorBidi" w:hAnsiTheme="majorBidi" w:cstheme="majorBidi"/>
          <w:sz w:val="26"/>
          <w:szCs w:val="26"/>
        </w:rPr>
        <w:t>Fig n°37: courbe d’absorption de chlore</w:t>
      </w:r>
    </w:p>
    <w:p>
      <w:pPr>
        <w:pStyle w:val="10"/>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0→A  Consommation instantanée du Cl</w:t>
      </w:r>
      <w:r>
        <w:rPr>
          <w:rFonts w:asciiTheme="majorBidi" w:hAnsiTheme="majorBidi" w:cstheme="majorBidi"/>
          <w:sz w:val="24"/>
          <w:szCs w:val="24"/>
          <w:vertAlign w:val="subscript"/>
        </w:rPr>
        <w:t>2</w:t>
      </w:r>
      <w:r>
        <w:rPr>
          <w:rFonts w:asciiTheme="majorBidi" w:hAnsiTheme="majorBidi" w:cstheme="majorBidi"/>
          <w:sz w:val="24"/>
          <w:szCs w:val="24"/>
        </w:rPr>
        <w:t>par les éléments réducteurs minéraux tels que (Fe</w:t>
      </w:r>
      <w:r>
        <w:rPr>
          <w:rFonts w:asciiTheme="majorBidi" w:hAnsiTheme="majorBidi" w:cstheme="majorBidi"/>
          <w:sz w:val="24"/>
          <w:szCs w:val="24"/>
          <w:vertAlign w:val="superscript"/>
        </w:rPr>
        <w:t>2+</w:t>
      </w:r>
      <w:r>
        <w:rPr>
          <w:rFonts w:asciiTheme="majorBidi" w:hAnsiTheme="majorBidi" w:cstheme="majorBidi"/>
          <w:sz w:val="24"/>
          <w:szCs w:val="24"/>
        </w:rPr>
        <w:t xml:space="preserve"> -Mn</w:t>
      </w:r>
      <w:r>
        <w:rPr>
          <w:rFonts w:asciiTheme="majorBidi" w:hAnsiTheme="majorBidi" w:cstheme="majorBidi"/>
          <w:sz w:val="24"/>
          <w:szCs w:val="24"/>
          <w:vertAlign w:val="superscript"/>
        </w:rPr>
        <w:t>+</w:t>
      </w:r>
      <w:r>
        <w:rPr>
          <w:rFonts w:asciiTheme="majorBidi" w:hAnsiTheme="majorBidi" w:cstheme="majorBidi"/>
          <w:sz w:val="24"/>
          <w:szCs w:val="24"/>
        </w:rPr>
        <w:t>- CU</w:t>
      </w:r>
      <w:r>
        <w:rPr>
          <w:rFonts w:asciiTheme="majorBidi" w:hAnsiTheme="majorBidi" w:cstheme="majorBidi"/>
          <w:sz w:val="24"/>
          <w:szCs w:val="24"/>
          <w:vertAlign w:val="superscript"/>
        </w:rPr>
        <w:t>2+</w:t>
      </w:r>
      <w:r>
        <w:rPr>
          <w:rFonts w:asciiTheme="majorBidi" w:hAnsiTheme="majorBidi" w:cstheme="majorBidi"/>
          <w:sz w:val="24"/>
          <w:szCs w:val="24"/>
        </w:rPr>
        <w:t>- ……..)                                                                                                                                                            -A  →B   Formation mono-chlora-mines  Cl</w:t>
      </w:r>
      <w:r>
        <w:rPr>
          <w:rFonts w:asciiTheme="majorBidi" w:hAnsiTheme="majorBidi" w:cstheme="majorBidi"/>
          <w:sz w:val="24"/>
          <w:szCs w:val="24"/>
          <w:vertAlign w:val="subscript"/>
        </w:rPr>
        <w:t>2</w:t>
      </w:r>
      <w:r>
        <w:rPr>
          <w:rFonts w:asciiTheme="majorBidi" w:hAnsiTheme="majorBidi" w:cstheme="majorBidi"/>
          <w:sz w:val="24"/>
          <w:szCs w:val="24"/>
        </w:rPr>
        <w:t>=0                                                                                             -B  →  C  Formation di-chlora-mines                                                                                                                 -c→ C       break point ou le point critique</w:t>
      </w:r>
    </w:p>
    <w:p>
      <w:pPr>
        <w:pStyle w:val="10"/>
        <w:spacing w:before="100" w:beforeAutospacing="1" w:after="100" w:afterAutospacing="1" w:line="360" w:lineRule="auto"/>
        <w:ind w:left="714"/>
        <w:rPr>
          <w:rFonts w:asciiTheme="majorBidi" w:hAnsiTheme="majorBidi" w:cstheme="majorBidi"/>
          <w:sz w:val="24"/>
          <w:szCs w:val="24"/>
        </w:rPr>
      </w:pPr>
      <w:r>
        <w:rPr>
          <w:rFonts w:asciiTheme="majorBidi" w:hAnsiTheme="majorBidi" w:cstheme="majorBidi"/>
          <w:sz w:val="24"/>
          <w:szCs w:val="24"/>
        </w:rPr>
        <w:t>-C  →  D  chlora mines disparues. Tout le Cl</w:t>
      </w:r>
      <w:r>
        <w:rPr>
          <w:rFonts w:asciiTheme="majorBidi" w:hAnsiTheme="majorBidi" w:cstheme="majorBidi"/>
          <w:sz w:val="24"/>
          <w:szCs w:val="24"/>
          <w:vertAlign w:val="subscript"/>
        </w:rPr>
        <w:t>2</w:t>
      </w:r>
      <w:r>
        <w:rPr>
          <w:rFonts w:asciiTheme="majorBidi" w:hAnsiTheme="majorBidi" w:cstheme="majorBidi"/>
          <w:sz w:val="24"/>
          <w:szCs w:val="24"/>
        </w:rPr>
        <w:t xml:space="preserve"> ajouté sera sous forme de HClO, efficace pour  la désinfection.</w:t>
      </w:r>
    </w:p>
    <w:p>
      <w:pPr>
        <w:pStyle w:val="10"/>
        <w:tabs>
          <w:tab w:val="left" w:pos="1365"/>
        </w:tabs>
        <w:spacing w:before="100" w:beforeAutospacing="1" w:after="100" w:afterAutospacing="1" w:line="360" w:lineRule="auto"/>
        <w:ind w:left="0" w:firstLine="567"/>
        <w:rPr>
          <w:rFonts w:asciiTheme="majorBidi" w:hAnsiTheme="majorBidi" w:cstheme="majorBidi"/>
          <w:sz w:val="24"/>
          <w:szCs w:val="24"/>
        </w:rPr>
      </w:pPr>
      <w:r>
        <w:rPr>
          <w:rFonts w:asciiTheme="majorBidi" w:hAnsiTheme="majorBidi" w:cstheme="majorBidi"/>
          <w:sz w:val="24"/>
          <w:szCs w:val="24"/>
        </w:rPr>
        <w:t>Après le point critique C, la dose de chlore total résiduel augment de la même quantité que le chlore introduit. Le chlore résiduel est alors principalement sous forme chlore libre.</w:t>
      </w:r>
    </w:p>
    <w:p>
      <w:pPr>
        <w:pStyle w:val="10"/>
        <w:numPr>
          <w:ilvl w:val="0"/>
          <w:numId w:val="25"/>
        </w:numPr>
        <w:tabs>
          <w:tab w:val="left" w:pos="1365"/>
        </w:tabs>
        <w:spacing w:before="100" w:beforeAutospacing="1" w:after="100" w:afterAutospacing="1" w:line="360" w:lineRule="auto"/>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Coagulation-floculation :</w:t>
      </w:r>
    </w:p>
    <w:p>
      <w:pPr>
        <w:pStyle w:val="10"/>
        <w:tabs>
          <w:tab w:val="left" w:pos="1365"/>
        </w:tabs>
        <w:spacing w:after="0" w:line="360" w:lineRule="auto"/>
        <w:ind w:left="0"/>
        <w:jc w:val="center"/>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drawing>
          <wp:inline distT="0" distB="0" distL="0" distR="0">
            <wp:extent cx="5391150" cy="1895475"/>
            <wp:effectExtent l="53975" t="53975" r="117475" b="107950"/>
            <wp:docPr id="4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
                    <pic:cNvPicPr>
                      <a:picLocks noChangeAspect="1" noChangeArrowheads="1"/>
                    </pic:cNvPicPr>
                  </pic:nvPicPr>
                  <pic:blipFill>
                    <a:blip r:embed="rId46"/>
                    <a:srcRect/>
                    <a:stretch>
                      <a:fillRect/>
                    </a:stretch>
                  </pic:blipFill>
                  <pic:spPr>
                    <a:xfrm>
                      <a:off x="0" y="0"/>
                      <a:ext cx="5391150" cy="189547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after="0" w:line="360" w:lineRule="auto"/>
        <w:jc w:val="center"/>
        <w:rPr>
          <w:rFonts w:asciiTheme="majorBidi" w:hAnsiTheme="majorBidi" w:cstheme="majorBidi"/>
          <w:sz w:val="26"/>
          <w:szCs w:val="26"/>
        </w:rPr>
      </w:pPr>
      <w:r>
        <w:rPr>
          <w:rFonts w:asciiTheme="majorBidi" w:hAnsiTheme="majorBidi" w:cstheme="majorBidi"/>
          <w:sz w:val="26"/>
          <w:szCs w:val="26"/>
        </w:rPr>
        <w:t>Fig n° 38: les étapes de coagulation et floculation</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Pour assurer la clarification de l’eau brute  par capture de MES et élimination des matières organiques il injectes :                                                                                                                                                      1-du charbon actif  de façon occasionnelle pour l’élimination des mauvais gouts et odeurs                                2  - Du sulfate d’alumine pour la coagulation                                                                                                         3- du polymère pour la floculation</w:t>
      </w:r>
    </w:p>
    <w:p>
      <w:pPr>
        <w:pStyle w:val="10"/>
        <w:numPr>
          <w:ilvl w:val="0"/>
          <w:numId w:val="25"/>
        </w:numPr>
        <w:spacing w:after="0" w:line="360" w:lineRule="auto"/>
        <w:rPr>
          <w:rFonts w:asciiTheme="majorBidi" w:hAnsiTheme="majorBidi" w:cstheme="majorBidi"/>
          <w:sz w:val="24"/>
          <w:szCs w:val="24"/>
        </w:rPr>
      </w:pPr>
      <w:r>
        <w:rPr>
          <w:rFonts w:asciiTheme="majorBidi" w:hAnsiTheme="majorBidi" w:cstheme="majorBidi"/>
          <w:b/>
          <w:bCs/>
          <w:color w:val="000000" w:themeColor="text1"/>
          <w:sz w:val="24"/>
          <w:szCs w:val="24"/>
        </w:rPr>
        <w:t xml:space="preserve">Coagulation :                                                                                                                </w:t>
      </w:r>
    </w:p>
    <w:p>
      <w:pPr>
        <w:spacing w:after="0" w:line="360" w:lineRule="auto"/>
        <w:ind w:firstLine="284"/>
        <w:rPr>
          <w:rFonts w:asciiTheme="majorBidi" w:hAnsiTheme="majorBidi" w:cstheme="majorBidi"/>
          <w:color w:val="000000" w:themeColor="text1"/>
          <w:sz w:val="28"/>
          <w:szCs w:val="28"/>
        </w:rPr>
      </w:pPr>
      <w:r>
        <w:rPr>
          <w:rFonts w:asciiTheme="majorBidi" w:hAnsiTheme="majorBidi" w:cstheme="majorBidi"/>
          <w:sz w:val="24"/>
          <w:szCs w:val="24"/>
        </w:rPr>
        <w:t>Pour réunir ou associer les particules dispersées en réduisant leur mobilité avec des réactifs appropriés</w:t>
      </w:r>
      <w:r>
        <w:rPr>
          <w:rFonts w:asciiTheme="majorBidi" w:hAnsiTheme="majorBidi" w:cstheme="majorBidi"/>
          <w:color w:val="000000" w:themeColor="text1"/>
          <w:sz w:val="28"/>
          <w:szCs w:val="28"/>
        </w:rPr>
        <w:t>,</w:t>
      </w:r>
      <w:r>
        <w:rPr>
          <w:rFonts w:asciiTheme="majorBidi" w:hAnsiTheme="majorBidi" w:cstheme="majorBidi"/>
          <w:sz w:val="24"/>
          <w:szCs w:val="24"/>
        </w:rPr>
        <w:t xml:space="preserve"> Apres l’injection de ces réactifs le mélange rapide et assuré dans un bassin en chicanes ou dans des agitateurs motorisés.</w:t>
      </w:r>
    </w:p>
    <w:p>
      <w:pPr>
        <w:pStyle w:val="10"/>
        <w:numPr>
          <w:ilvl w:val="0"/>
          <w:numId w:val="25"/>
        </w:numPr>
        <w:spacing w:after="0" w:line="360" w:lineRule="auto"/>
        <w:rPr>
          <w:rFonts w:asciiTheme="majorBidi" w:hAnsiTheme="majorBidi" w:eastAsiaTheme="minorHAnsi" w:cstheme="majorBidi"/>
          <w:b/>
          <w:bCs/>
          <w:sz w:val="24"/>
          <w:szCs w:val="24"/>
        </w:rPr>
      </w:pPr>
      <w:r>
        <w:rPr>
          <w:rFonts w:asciiTheme="majorBidi" w:hAnsiTheme="majorBidi" w:eastAsiaTheme="minorHAnsi" w:cstheme="majorBidi"/>
          <w:b/>
          <w:bCs/>
          <w:sz w:val="24"/>
          <w:szCs w:val="24"/>
        </w:rPr>
        <w:t>Floculation</w:t>
      </w:r>
      <w:r>
        <w:rPr>
          <w:rFonts w:asciiTheme="majorBidi" w:hAnsiTheme="majorBidi" w:cstheme="majorBidi"/>
          <w:color w:val="000000" w:themeColor="text1"/>
          <w:sz w:val="24"/>
          <w:szCs w:val="24"/>
        </w:rPr>
        <w:t xml:space="preserve"> (Fig n°39)</w:t>
      </w:r>
      <w:r>
        <w:rPr>
          <w:rFonts w:asciiTheme="majorBidi" w:hAnsiTheme="majorBidi" w:eastAsiaTheme="minorHAnsi" w:cstheme="majorBidi"/>
          <w:b/>
          <w:bCs/>
          <w:sz w:val="24"/>
          <w:szCs w:val="24"/>
        </w:rPr>
        <w:t xml:space="preserve"> :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Cette opération pour l’agglomération des petites particules pour en faire de gros flocs, il est</w:t>
      </w:r>
    </w:p>
    <w:p>
      <w:pPr>
        <w:spacing w:after="0" w:line="360" w:lineRule="auto"/>
        <w:rPr>
          <w:rFonts w:asciiTheme="majorBidi" w:hAnsiTheme="majorBidi" w:cstheme="majorBidi"/>
          <w:sz w:val="24"/>
          <w:szCs w:val="24"/>
        </w:rPr>
      </w:pPr>
      <w:r>
        <w:rPr>
          <w:rFonts w:asciiTheme="majorBidi" w:hAnsiTheme="majorBidi" w:cstheme="majorBidi"/>
          <w:sz w:val="24"/>
          <w:szCs w:val="24"/>
        </w:rPr>
        <w:t>assurée dans bassin où l’on assure une agitation lente.                                                                                                                                       -la floculation est réalisée à travers un bassin de mélange muni d’agitateurs lents (vitesse périphérique 0.2 à 0.5 m /s, gradient de vitesse 20 à 50 s. le temps de passage est de 5 à 15  minutes)</w:t>
      </w:r>
    </w:p>
    <w:p>
      <w:pPr>
        <w:spacing w:after="0" w:line="360" w:lineRule="auto"/>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drawing>
          <wp:inline distT="0" distB="0" distL="0" distR="0">
            <wp:extent cx="4989830" cy="1733550"/>
            <wp:effectExtent l="88900" t="22225" r="39370" b="98425"/>
            <wp:docPr id="43" name="Image 7" descr="C:\Users\fatima\Desktop\20160316_093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7" descr="C:\Users\fatima\Desktop\20160316_093133.jpg"/>
                    <pic:cNvPicPr>
                      <a:picLocks noChangeAspect="1" noChangeArrowheads="1"/>
                    </pic:cNvPicPr>
                  </pic:nvPicPr>
                  <pic:blipFill>
                    <a:blip r:embed="rId47" cstate="print"/>
                    <a:srcRect/>
                    <a:stretch>
                      <a:fillRect/>
                    </a:stretch>
                  </pic:blipFill>
                  <pic:spPr>
                    <a:xfrm>
                      <a:off x="0" y="0"/>
                      <a:ext cx="4998624" cy="17363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pPr>
        <w:spacing w:after="0"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Fig n°39: bassin floculation.</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Les doses des réactifs utilisés pour la Coagulation- floculation sont déterminées au laboratoire au moyen du Jar-test</w:t>
      </w:r>
    </w:p>
    <w:p>
      <w:pPr>
        <w:spacing w:after="0" w:line="360" w:lineRule="auto"/>
        <w:jc w:val="center"/>
        <w:rPr>
          <w:rFonts w:asciiTheme="majorBidi" w:hAnsiTheme="majorBidi" w:cstheme="majorBidi"/>
          <w:b/>
          <w:bCs/>
          <w:color w:val="000000" w:themeColor="text1"/>
          <w:sz w:val="28"/>
          <w:szCs w:val="28"/>
        </w:rPr>
      </w:pPr>
      <w:r>
        <w:rPr>
          <w:rFonts w:asciiTheme="majorBidi" w:hAnsiTheme="majorBidi" w:cstheme="majorBidi"/>
          <w:sz w:val="24"/>
          <w:szCs w:val="24"/>
        </w:rPr>
        <w:drawing>
          <wp:inline distT="0" distB="0" distL="0" distR="0">
            <wp:extent cx="4736465" cy="2028825"/>
            <wp:effectExtent l="88900" t="22225" r="51435" b="95250"/>
            <wp:docPr id="44" name="Image 8" descr="C:\Users\fatima\Desktop\20160310_11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8" descr="C:\Users\fatima\Desktop\20160310_110627.jpg"/>
                    <pic:cNvPicPr>
                      <a:picLocks noChangeAspect="1" noChangeArrowheads="1"/>
                    </pic:cNvPicPr>
                  </pic:nvPicPr>
                  <pic:blipFill>
                    <a:blip r:embed="rId48" cstate="print"/>
                    <a:srcRect/>
                    <a:stretch>
                      <a:fillRect/>
                    </a:stretch>
                  </pic:blipFill>
                  <pic:spPr>
                    <a:xfrm>
                      <a:off x="0" y="0"/>
                      <a:ext cx="4739495" cy="20301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pPr>
        <w:spacing w:after="0" w:line="360" w:lineRule="auto"/>
        <w:jc w:val="cente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Fig n°40: Jar-test </w:t>
      </w:r>
    </w:p>
    <w:p>
      <w:pPr>
        <w:spacing w:after="0" w:line="360" w:lineRule="auto"/>
        <w:ind w:firstLine="284"/>
        <w:jc w:val="both"/>
        <w:rPr>
          <w:rFonts w:asciiTheme="majorBidi" w:hAnsiTheme="majorBidi"/>
          <w:sz w:val="24"/>
          <w:szCs w:val="24"/>
        </w:rPr>
      </w:pPr>
      <w:r>
        <w:rPr>
          <w:rFonts w:asciiTheme="majorBidi" w:hAnsiTheme="majorBidi"/>
          <w:sz w:val="24"/>
          <w:szCs w:val="24"/>
        </w:rPr>
        <w:t>Jar test (figure</w:t>
      </w:r>
      <w:r>
        <w:rPr>
          <w:rFonts w:asciiTheme="majorBidi" w:hAnsiTheme="majorBidi" w:cstheme="majorBidi"/>
          <w:color w:val="000000" w:themeColor="text1"/>
          <w:sz w:val="24"/>
          <w:szCs w:val="24"/>
        </w:rPr>
        <w:t xml:space="preserve"> n°40) </w:t>
      </w:r>
      <w:r>
        <w:rPr>
          <w:rFonts w:asciiTheme="majorBidi" w:hAnsiTheme="majorBidi"/>
          <w:sz w:val="24"/>
          <w:szCs w:val="24"/>
        </w:rPr>
        <w:t xml:space="preserve">c’est un procédé qui sert à déterminer la quantité de coagulant et de floculant qu’il faut  injecter à l’eau brute pour avoir une meilleure clarification. </w:t>
      </w:r>
    </w:p>
    <w:p>
      <w:pPr>
        <w:pStyle w:val="10"/>
        <w:numPr>
          <w:ilvl w:val="0"/>
          <w:numId w:val="25"/>
        </w:numPr>
        <w:spacing w:after="0" w:line="360" w:lineRule="auto"/>
        <w:jc w:val="both"/>
        <w:rPr>
          <w:rFonts w:asciiTheme="majorBidi" w:hAnsiTheme="majorBidi"/>
          <w:b/>
          <w:bCs/>
          <w:i/>
          <w:iCs/>
          <w:sz w:val="24"/>
          <w:szCs w:val="24"/>
        </w:rPr>
      </w:pPr>
      <w:r>
        <w:rPr>
          <w:rFonts w:asciiTheme="majorBidi" w:hAnsiTheme="majorBidi"/>
          <w:b/>
          <w:bCs/>
          <w:i/>
          <w:iCs/>
          <w:sz w:val="24"/>
          <w:szCs w:val="24"/>
        </w:rPr>
        <w:t xml:space="preserve">Réactif coagulant : </w:t>
      </w:r>
    </w:p>
    <w:p>
      <w:pPr>
        <w:spacing w:after="0" w:line="360" w:lineRule="auto"/>
        <w:ind w:firstLine="284"/>
        <w:jc w:val="both"/>
        <w:rPr>
          <w:rFonts w:asciiTheme="majorBidi" w:hAnsiTheme="majorBidi"/>
          <w:sz w:val="24"/>
          <w:szCs w:val="24"/>
        </w:rPr>
      </w:pPr>
      <w:r>
        <w:rPr>
          <w:rFonts w:asciiTheme="majorBidi" w:hAnsiTheme="majorBidi"/>
          <w:sz w:val="24"/>
          <w:szCs w:val="24"/>
        </w:rPr>
        <w:t xml:space="preserve"> On a utilisé le produit «  le sulfate d’aluminium », livré en sacs d’une contenance de 25 ou 50 kg, à17%</w:t>
      </w:r>
    </w:p>
    <w:p>
      <w:pPr>
        <w:pStyle w:val="10"/>
        <w:numPr>
          <w:ilvl w:val="0"/>
          <w:numId w:val="25"/>
        </w:numPr>
        <w:spacing w:after="0" w:line="360" w:lineRule="auto"/>
        <w:jc w:val="both"/>
        <w:rPr>
          <w:rFonts w:asciiTheme="majorBidi" w:hAnsiTheme="majorBidi"/>
          <w:b/>
          <w:bCs/>
          <w:sz w:val="24"/>
          <w:szCs w:val="24"/>
        </w:rPr>
      </w:pPr>
      <w:r>
        <w:rPr>
          <w:rFonts w:asciiTheme="majorBidi" w:hAnsiTheme="majorBidi"/>
          <w:b/>
          <w:bCs/>
          <w:sz w:val="24"/>
          <w:szCs w:val="24"/>
        </w:rPr>
        <w:t>Appareillage :</w:t>
      </w:r>
    </w:p>
    <w:p>
      <w:pPr>
        <w:spacing w:after="0" w:line="360" w:lineRule="auto"/>
        <w:ind w:firstLine="567"/>
        <w:jc w:val="both"/>
        <w:rPr>
          <w:rFonts w:asciiTheme="majorBidi" w:hAnsiTheme="majorBidi"/>
          <w:sz w:val="24"/>
          <w:szCs w:val="24"/>
        </w:rPr>
      </w:pPr>
      <w:r>
        <w:rPr>
          <w:rFonts w:asciiTheme="majorBidi" w:hAnsiTheme="majorBidi"/>
        </w:rPr>
        <w:t>-</w:t>
      </w:r>
      <w:r>
        <w:rPr>
          <w:rFonts w:asciiTheme="majorBidi" w:hAnsiTheme="majorBidi"/>
          <w:sz w:val="24"/>
          <w:szCs w:val="24"/>
        </w:rPr>
        <w:t>1 pipette de 2 ml graduée en 1/10 e ml.</w:t>
      </w:r>
    </w:p>
    <w:p>
      <w:pPr>
        <w:spacing w:after="0" w:line="360" w:lineRule="auto"/>
        <w:ind w:firstLine="567"/>
        <w:jc w:val="both"/>
        <w:rPr>
          <w:rFonts w:asciiTheme="majorBidi" w:hAnsiTheme="majorBidi"/>
          <w:sz w:val="24"/>
          <w:szCs w:val="24"/>
        </w:rPr>
      </w:pPr>
      <w:r>
        <w:rPr>
          <w:rFonts w:asciiTheme="majorBidi" w:hAnsiTheme="majorBidi"/>
          <w:sz w:val="24"/>
          <w:szCs w:val="24"/>
        </w:rPr>
        <w:t>- 1 pipette de 1 ml graduée en 1/10 e ml</w:t>
      </w:r>
    </w:p>
    <w:p>
      <w:pPr>
        <w:spacing w:after="0" w:line="360" w:lineRule="auto"/>
        <w:ind w:firstLine="567"/>
        <w:jc w:val="both"/>
        <w:rPr>
          <w:rFonts w:asciiTheme="majorBidi" w:hAnsiTheme="majorBidi"/>
          <w:sz w:val="24"/>
          <w:szCs w:val="24"/>
        </w:rPr>
      </w:pPr>
      <w:r>
        <w:rPr>
          <w:rFonts w:asciiTheme="majorBidi" w:hAnsiTheme="majorBidi"/>
          <w:sz w:val="24"/>
          <w:szCs w:val="24"/>
        </w:rPr>
        <w:t xml:space="preserve">- quatre(4) bécher de capacité de 500ml.  </w:t>
      </w:r>
    </w:p>
    <w:p>
      <w:pPr>
        <w:spacing w:after="0" w:line="360" w:lineRule="auto"/>
        <w:ind w:firstLine="567"/>
        <w:jc w:val="both"/>
        <w:rPr>
          <w:rFonts w:asciiTheme="majorBidi" w:hAnsiTheme="majorBidi"/>
          <w:sz w:val="24"/>
          <w:szCs w:val="24"/>
        </w:rPr>
      </w:pPr>
      <w:r>
        <w:rPr>
          <w:rFonts w:asciiTheme="majorBidi" w:hAnsiTheme="majorBidi"/>
          <w:sz w:val="24"/>
          <w:szCs w:val="24"/>
        </w:rPr>
        <w:t>- 1 Analyseur de turbidité.</w:t>
      </w:r>
    </w:p>
    <w:p>
      <w:pPr>
        <w:pStyle w:val="2"/>
        <w:spacing w:before="0" w:line="360" w:lineRule="auto"/>
        <w:ind w:firstLine="284"/>
        <w:rPr>
          <w:rFonts w:asciiTheme="majorBidi" w:hAnsiTheme="majorBidi"/>
          <w:b w:val="0"/>
          <w:bCs w:val="0"/>
          <w:i w:val="0"/>
          <w:iCs w:val="0"/>
          <w:sz w:val="24"/>
          <w:szCs w:val="24"/>
        </w:rPr>
      </w:pPr>
      <w:r>
        <w:rPr>
          <w:rFonts w:asciiTheme="majorBidi" w:hAnsiTheme="majorBidi"/>
          <w:b w:val="0"/>
          <w:bCs w:val="0"/>
          <w:i w:val="0"/>
          <w:iCs w:val="0"/>
          <w:sz w:val="24"/>
          <w:szCs w:val="24"/>
        </w:rPr>
        <w:t xml:space="preserve">Le choix se porte sur la plus petite dose de sulfate d’alumine et de poly électrolyte qui donne meilleur décantation et une bonne filtration.  </w:t>
      </w:r>
    </w:p>
    <w:p>
      <w:pPr>
        <w:pStyle w:val="2"/>
        <w:numPr>
          <w:ilvl w:val="0"/>
          <w:numId w:val="25"/>
        </w:numPr>
        <w:spacing w:before="0" w:line="360" w:lineRule="auto"/>
        <w:rPr>
          <w:rFonts w:asciiTheme="majorBidi" w:hAnsiTheme="majorBidi"/>
          <w:i w:val="0"/>
          <w:iCs w:val="0"/>
          <w:sz w:val="24"/>
          <w:szCs w:val="24"/>
        </w:rPr>
      </w:pPr>
      <w:r>
        <w:rPr>
          <w:rFonts w:asciiTheme="majorBidi" w:hAnsiTheme="majorBidi"/>
          <w:i w:val="0"/>
          <w:iCs w:val="0"/>
          <w:sz w:val="24"/>
          <w:szCs w:val="24"/>
        </w:rPr>
        <w:t xml:space="preserve">La décantation </w:t>
      </w:r>
      <w:r>
        <w:rPr>
          <w:rFonts w:asciiTheme="majorBidi" w:hAnsiTheme="majorBidi"/>
          <w:b w:val="0"/>
          <w:bCs w:val="0"/>
          <w:i w:val="0"/>
          <w:iCs w:val="0"/>
          <w:sz w:val="24"/>
          <w:szCs w:val="24"/>
        </w:rPr>
        <w:t>(</w:t>
      </w:r>
      <w:r>
        <w:rPr>
          <w:rFonts w:asciiTheme="majorBidi" w:hAnsiTheme="majorBidi" w:cstheme="majorBidi"/>
          <w:b w:val="0"/>
          <w:bCs w:val="0"/>
          <w:i w:val="0"/>
          <w:iCs w:val="0"/>
          <w:sz w:val="24"/>
          <w:szCs w:val="24"/>
        </w:rPr>
        <w:t>figure n°41)</w:t>
      </w:r>
      <w:r>
        <w:rPr>
          <w:rFonts w:asciiTheme="majorBidi" w:hAnsiTheme="majorBidi"/>
          <w:i w:val="0"/>
          <w:iCs w:val="0"/>
          <w:sz w:val="24"/>
          <w:szCs w:val="24"/>
        </w:rPr>
        <w:t> :</w:t>
      </w:r>
    </w:p>
    <w:p>
      <w:pPr>
        <w:pStyle w:val="2"/>
        <w:spacing w:before="0" w:line="360" w:lineRule="auto"/>
        <w:ind w:firstLine="284"/>
        <w:rPr>
          <w:rFonts w:asciiTheme="majorBidi" w:hAnsiTheme="majorBidi"/>
          <w:b w:val="0"/>
          <w:bCs w:val="0"/>
          <w:i w:val="0"/>
          <w:iCs w:val="0"/>
          <w:sz w:val="24"/>
          <w:szCs w:val="24"/>
        </w:rPr>
      </w:pPr>
      <w:r>
        <w:rPr>
          <w:rFonts w:asciiTheme="majorBidi" w:hAnsiTheme="majorBidi"/>
          <w:b w:val="0"/>
          <w:bCs w:val="0"/>
          <w:i w:val="0"/>
          <w:iCs w:val="0"/>
          <w:sz w:val="24"/>
          <w:szCs w:val="24"/>
        </w:rPr>
        <w:t xml:space="preserve">Les particules agglomérées (flocs) sont entrainées par leurs propre poids au fond du bassin de décantation à l’aide des paquets lamellaires.                                                                                                Cette opération pour la décantation vise à  éliminer les  flocs issus de la coagulation/floculation, elle réalise la  séparation gravitaire des matières insolubles naturelles. </w:t>
      </w:r>
    </w:p>
    <w:p>
      <w:pPr>
        <w:pStyle w:val="2"/>
        <w:numPr>
          <w:ilvl w:val="0"/>
          <w:numId w:val="32"/>
        </w:numPr>
        <w:spacing w:before="0" w:line="360" w:lineRule="auto"/>
        <w:rPr>
          <w:rFonts w:asciiTheme="majorBidi" w:hAnsiTheme="majorBidi"/>
          <w:b w:val="0"/>
          <w:bCs w:val="0"/>
          <w:sz w:val="24"/>
          <w:szCs w:val="24"/>
        </w:rPr>
      </w:pPr>
      <w:r>
        <w:rPr>
          <w:rFonts w:asciiTheme="majorBidi" w:hAnsiTheme="majorBidi"/>
          <w:i w:val="0"/>
          <w:iCs w:val="0"/>
          <w:sz w:val="24"/>
          <w:szCs w:val="24"/>
        </w:rPr>
        <w:t>La décantation statique</w:t>
      </w:r>
      <w:r>
        <w:rPr>
          <w:rFonts w:asciiTheme="majorBidi" w:hAnsiTheme="majorBidi"/>
          <w:b w:val="0"/>
          <w:bCs w:val="0"/>
          <w:sz w:val="24"/>
          <w:szCs w:val="24"/>
        </w:rPr>
        <w:t xml:space="preserve">  </w:t>
      </w:r>
    </w:p>
    <w:p>
      <w:pPr>
        <w:pStyle w:val="2"/>
        <w:spacing w:before="0" w:line="360" w:lineRule="auto"/>
        <w:rPr>
          <w:rFonts w:asciiTheme="majorBidi" w:hAnsiTheme="majorBidi"/>
          <w:b w:val="0"/>
          <w:bCs w:val="0"/>
          <w:i w:val="0"/>
          <w:iCs w:val="0"/>
        </w:rPr>
      </w:pPr>
      <w:r>
        <w:rPr>
          <w:rFonts w:asciiTheme="majorBidi" w:hAnsiTheme="majorBidi"/>
          <w:b w:val="0"/>
          <w:bCs w:val="0"/>
          <w:i w:val="0"/>
          <w:iCs w:val="0"/>
          <w:sz w:val="24"/>
          <w:szCs w:val="24"/>
        </w:rPr>
        <w:t xml:space="preserve">La décantation lamellaire combinée avec contact de boues, </w:t>
      </w:r>
      <w:r>
        <w:rPr>
          <w:rFonts w:asciiTheme="majorBidi" w:hAnsiTheme="majorBidi" w:cstheme="majorBidi"/>
          <w:b w:val="0"/>
          <w:bCs w:val="0"/>
          <w:i w:val="0"/>
          <w:iCs w:val="0"/>
          <w:sz w:val="24"/>
          <w:szCs w:val="24"/>
        </w:rPr>
        <w:t>Elle est incliné à 45° en surface, elle permet des vitesses ascensionnelles jusqu’à 20m</w:t>
      </w:r>
      <w:r>
        <w:rPr>
          <w:rFonts w:asciiTheme="majorBidi" w:hAnsiTheme="majorBidi" w:cstheme="majorBidi"/>
          <w:b w:val="0"/>
          <w:bCs w:val="0"/>
          <w:i w:val="0"/>
          <w:iCs w:val="0"/>
          <w:sz w:val="24"/>
          <w:szCs w:val="24"/>
          <w:vertAlign w:val="superscript"/>
        </w:rPr>
        <w:t>3</w:t>
      </w:r>
      <w:r>
        <w:rPr>
          <w:rFonts w:asciiTheme="majorBidi" w:hAnsiTheme="majorBidi" w:cstheme="majorBidi"/>
          <w:b w:val="0"/>
          <w:bCs w:val="0"/>
          <w:i w:val="0"/>
          <w:iCs w:val="0"/>
          <w:sz w:val="24"/>
          <w:szCs w:val="24"/>
        </w:rPr>
        <w:t>/H.</w:t>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drawing>
          <wp:inline distT="0" distB="0" distL="0" distR="0">
            <wp:extent cx="4655820" cy="1343025"/>
            <wp:effectExtent l="88900" t="22225" r="43180" b="95250"/>
            <wp:docPr id="45" name="Image 1" descr="F:\kramis\photos\photo station\IMG_150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5" name="Image 1" descr="F:\kramis\photos\photo station\IMG_1507.jpg"/>
                    <pic:cNvPicPr>
                      <a:picLocks noGrp="1" noChangeAspect="1" noChangeArrowheads="1"/>
                    </pic:cNvPicPr>
                  </pic:nvPicPr>
                  <pic:blipFill>
                    <a:blip r:embed="rId49" cstate="print"/>
                    <a:srcRect/>
                    <a:stretch>
                      <a:fillRect/>
                    </a:stretch>
                  </pic:blipFill>
                  <pic:spPr>
                    <a:xfrm>
                      <a:off x="0" y="0"/>
                      <a:ext cx="4667381" cy="1346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Fig n°41 : le décanteur.</w:t>
      </w:r>
    </w:p>
    <w:p>
      <w:pPr>
        <w:pStyle w:val="10"/>
        <w:numPr>
          <w:ilvl w:val="0"/>
          <w:numId w:val="32"/>
        </w:numPr>
        <w:spacing w:after="0" w:line="360" w:lineRule="auto"/>
        <w:rPr>
          <w:rFonts w:asciiTheme="majorBidi" w:hAnsiTheme="majorBidi" w:cstheme="majorBidi"/>
          <w:b/>
          <w:bCs/>
          <w:sz w:val="24"/>
          <w:szCs w:val="24"/>
        </w:rPr>
      </w:pPr>
      <w:r>
        <w:rPr>
          <w:rFonts w:asciiTheme="majorBidi" w:hAnsiTheme="majorBidi" w:cstheme="majorBidi"/>
          <w:b/>
          <w:bCs/>
          <w:sz w:val="24"/>
          <w:szCs w:val="24"/>
        </w:rPr>
        <w:t>Décanteur à flux vertical :</w:t>
      </w:r>
    </w:p>
    <w:p>
      <w:pPr>
        <w:spacing w:after="0" w:line="360" w:lineRule="auto"/>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drawing>
          <wp:inline distT="0" distB="0" distL="0" distR="0">
            <wp:extent cx="4314825" cy="1628775"/>
            <wp:effectExtent l="0" t="0" r="3175" b="9525"/>
            <wp:docPr id="46" name="Image 6" descr="C:\Users\belaribi med\Desktop\m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6" descr="C:\Users\belaribi med\Desktop\mar.PNG"/>
                    <pic:cNvPicPr>
                      <a:picLocks noChangeAspect="1" noChangeArrowheads="1"/>
                    </pic:cNvPicPr>
                  </pic:nvPicPr>
                  <pic:blipFill>
                    <a:blip r:embed="rId50"/>
                    <a:srcRect/>
                    <a:stretch>
                      <a:fillRect/>
                    </a:stretch>
                  </pic:blipFill>
                  <pic:spPr>
                    <a:xfrm>
                      <a:off x="0" y="0"/>
                      <a:ext cx="4314825" cy="1628775"/>
                    </a:xfrm>
                    <a:prstGeom prst="rect">
                      <a:avLst/>
                    </a:prstGeom>
                    <a:noFill/>
                    <a:ln w="9525">
                      <a:noFill/>
                      <a:miter lim="800000"/>
                      <a:headEnd/>
                      <a:tailEnd/>
                    </a:ln>
                  </pic:spPr>
                </pic:pic>
              </a:graphicData>
            </a:graphic>
          </wp:inline>
        </w:drawing>
      </w:r>
    </w:p>
    <w:p>
      <w:pPr>
        <w:spacing w:after="0" w:line="360" w:lineRule="auto"/>
        <w:jc w:val="center"/>
        <w:rPr>
          <w:rFonts w:asciiTheme="majorBidi" w:hAnsiTheme="majorBidi" w:cstheme="majorBidi"/>
          <w:sz w:val="26"/>
          <w:szCs w:val="26"/>
        </w:rPr>
      </w:pPr>
      <w:r>
        <w:rPr>
          <w:rFonts w:asciiTheme="majorBidi" w:hAnsiTheme="majorBidi" w:cstheme="majorBidi"/>
          <w:sz w:val="26"/>
          <w:szCs w:val="26"/>
        </w:rPr>
        <w:t>Fig n°42: Décanteur à flux vertical</w:t>
      </w:r>
    </w:p>
    <w:p>
      <w:pPr>
        <w:pStyle w:val="10"/>
        <w:numPr>
          <w:ilvl w:val="0"/>
          <w:numId w:val="33"/>
        </w:numPr>
        <w:spacing w:line="360" w:lineRule="auto"/>
        <w:rPr>
          <w:rFonts w:asciiTheme="majorBidi" w:hAnsiTheme="majorBidi" w:cstheme="majorBidi"/>
          <w:sz w:val="24"/>
          <w:szCs w:val="24"/>
        </w:rPr>
      </w:pPr>
      <w:r>
        <w:rPr>
          <w:rFonts w:asciiTheme="majorBidi" w:hAnsiTheme="majorBidi" w:cstheme="majorBidi"/>
          <w:sz w:val="24"/>
          <w:szCs w:val="24"/>
        </w:rPr>
        <w:t>Eau floculée.  (2) eau clarifiée.  (3) la boue.</w:t>
      </w:r>
    </w:p>
    <w:p>
      <w:pPr>
        <w:spacing w:after="0" w:line="360" w:lineRule="auto"/>
        <w:rPr>
          <w:rFonts w:asciiTheme="majorBidi" w:hAnsiTheme="majorBidi" w:cstheme="majorBidi"/>
          <w:b/>
          <w:bCs/>
          <w:sz w:val="24"/>
          <w:szCs w:val="24"/>
        </w:rPr>
      </w:pPr>
    </w:p>
    <w:p>
      <w:pPr>
        <w:pStyle w:val="10"/>
        <w:numPr>
          <w:ilvl w:val="0"/>
          <w:numId w:val="25"/>
        </w:numPr>
        <w:spacing w:after="0" w:line="360" w:lineRule="auto"/>
        <w:rPr>
          <w:rFonts w:asciiTheme="majorBidi" w:hAnsiTheme="majorBidi" w:cstheme="majorBidi"/>
          <w:b/>
          <w:bCs/>
          <w:sz w:val="24"/>
          <w:szCs w:val="24"/>
        </w:rPr>
      </w:pPr>
      <w:r>
        <w:rPr>
          <w:rFonts w:asciiTheme="majorBidi" w:hAnsiTheme="majorBidi" w:cstheme="majorBidi"/>
          <w:b/>
          <w:bCs/>
          <w:sz w:val="24"/>
          <w:szCs w:val="24"/>
        </w:rPr>
        <w:t>Filtration (</w:t>
      </w:r>
      <w:r>
        <w:rPr>
          <w:rFonts w:asciiTheme="majorBidi" w:hAnsiTheme="majorBidi" w:cstheme="majorBidi"/>
          <w:sz w:val="24"/>
          <w:szCs w:val="24"/>
        </w:rPr>
        <w:t xml:space="preserve"> figure n° 43) :</w:t>
      </w:r>
      <w:r>
        <w:rPr>
          <w:rFonts w:asciiTheme="majorBidi" w:hAnsiTheme="majorBidi" w:cstheme="majorBidi"/>
          <w:b/>
          <w:bCs/>
          <w:sz w:val="24"/>
          <w:szCs w:val="24"/>
        </w:rPr>
        <w:t> </w:t>
      </w:r>
    </w:p>
    <w:p>
      <w:pPr>
        <w:spacing w:after="0" w:line="360" w:lineRule="auto"/>
        <w:rPr>
          <w:rFonts w:asciiTheme="majorBidi" w:hAnsiTheme="majorBidi" w:cstheme="majorBidi"/>
          <w:sz w:val="24"/>
          <w:szCs w:val="24"/>
        </w:rPr>
      </w:pPr>
      <w:r>
        <w:rPr>
          <w:rFonts w:asciiTheme="majorBidi" w:hAnsiTheme="majorBidi" w:cstheme="majorBidi"/>
          <w:sz w:val="24"/>
          <w:szCs w:val="24"/>
        </w:rPr>
        <w:t>L’eau clarifiée traverse un lit de sable de 1m de hauteur  qui retient les dernières particules en suspension ainsi que le charbon actif en poudre (en cas d’utilisation), la filtration a pour but de éliminé les particules que reste après  la décantation.</w:t>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drawing>
          <wp:inline distT="0" distB="0" distL="0" distR="0">
            <wp:extent cx="4991100" cy="2018665"/>
            <wp:effectExtent l="88900" t="22225" r="50800" b="105410"/>
            <wp:docPr id="47" name="Image 2" descr="F:\kramis\photos\photo station\IMG_150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7" name="Image 2" descr="F:\kramis\photos\photo station\IMG_1508.jpg"/>
                    <pic:cNvPicPr>
                      <a:picLocks noGrp="1" noChangeAspect="1" noChangeArrowheads="1"/>
                    </pic:cNvPicPr>
                  </pic:nvPicPr>
                  <pic:blipFill>
                    <a:blip r:embed="rId51" cstate="print"/>
                    <a:srcRect/>
                    <a:stretch>
                      <a:fillRect/>
                    </a:stretch>
                  </pic:blipFill>
                  <pic:spPr>
                    <a:xfrm>
                      <a:off x="0" y="0"/>
                      <a:ext cx="4995538" cy="2020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pPr>
        <w:pStyle w:val="10"/>
        <w:spacing w:line="360" w:lineRule="auto"/>
        <w:ind w:left="0"/>
        <w:jc w:val="center"/>
        <w:rPr>
          <w:rFonts w:asciiTheme="majorBidi" w:hAnsiTheme="majorBidi" w:cstheme="majorBidi"/>
          <w:sz w:val="24"/>
          <w:szCs w:val="24"/>
        </w:rPr>
      </w:pPr>
      <w:r>
        <w:rPr>
          <w:rFonts w:asciiTheme="majorBidi" w:hAnsiTheme="majorBidi" w:cstheme="majorBidi"/>
          <w:sz w:val="24"/>
          <w:szCs w:val="24"/>
        </w:rPr>
        <w:t xml:space="preserve">Fig n° 43: les filtres. </w:t>
      </w:r>
    </w:p>
    <w:p>
      <w:pPr>
        <w:spacing w:after="0" w:line="360" w:lineRule="auto"/>
        <w:rPr>
          <w:rFonts w:asciiTheme="majorBidi" w:hAnsiTheme="majorBidi" w:cstheme="majorBidi"/>
          <w:sz w:val="24"/>
          <w:szCs w:val="24"/>
        </w:rPr>
      </w:pPr>
      <w:r>
        <w:rPr>
          <w:rFonts w:asciiTheme="majorBidi" w:hAnsiTheme="majorBidi" w:cstheme="majorBidi"/>
          <w:sz w:val="24"/>
          <w:szCs w:val="24"/>
        </w:rPr>
        <w:t>Il existe deux  types de filtration dans la station de traitement :</w:t>
      </w:r>
    </w:p>
    <w:p>
      <w:pPr>
        <w:spacing w:after="0" w:line="360" w:lineRule="auto"/>
        <w:ind w:firstLine="284"/>
        <w:rPr>
          <w:rFonts w:asciiTheme="majorBidi" w:hAnsiTheme="majorBidi" w:cstheme="majorBidi"/>
          <w:b/>
          <w:bCs/>
          <w:sz w:val="28"/>
          <w:szCs w:val="28"/>
        </w:rPr>
      </w:pPr>
      <w:r>
        <w:rPr>
          <w:rFonts w:asciiTheme="majorBidi" w:hAnsiTheme="majorBidi" w:cstheme="majorBidi"/>
          <w:sz w:val="24"/>
          <w:szCs w:val="24"/>
        </w:rPr>
        <w:t>Filtration sur lit de sable filtrant unique (ce sont les procédés les plus courants dans le traitement des  eaux de surface).                                                                                                                                                     Le filtre ouvert ce sont les filtres construits en béton, dans les grandes installations de traitement comme station de traitement  –KRAMIS</w:t>
      </w:r>
      <w:r>
        <w:rPr>
          <w:rFonts w:asciiTheme="majorBidi" w:hAnsiTheme="majorBidi" w:cstheme="majorBidi"/>
          <w:b/>
          <w:bCs/>
          <w:sz w:val="24"/>
          <w:szCs w:val="24"/>
        </w:rPr>
        <w:t>-.</w:t>
      </w:r>
    </w:p>
    <w:p>
      <w:pPr>
        <w:pStyle w:val="10"/>
        <w:numPr>
          <w:ilvl w:val="0"/>
          <w:numId w:val="25"/>
        </w:numPr>
        <w:spacing w:after="0" w:line="360" w:lineRule="auto"/>
        <w:rPr>
          <w:rFonts w:asciiTheme="majorBidi" w:hAnsiTheme="majorBidi" w:cstheme="majorBidi"/>
          <w:b/>
          <w:bCs/>
          <w:sz w:val="28"/>
          <w:szCs w:val="28"/>
        </w:rPr>
      </w:pPr>
      <w:r>
        <w:rPr>
          <w:rFonts w:asciiTheme="majorBidi" w:hAnsiTheme="majorBidi" w:cstheme="majorBidi"/>
          <w:b/>
          <w:bCs/>
          <w:sz w:val="24"/>
          <w:szCs w:val="24"/>
        </w:rPr>
        <w:t>Désinfections (chloration final)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La dernière étape du traitement est la désinfection, on injecte du chlore à partir du bâtiment des réactifs  pour éliminer les bactéries et maintenir un taux de chlore résiduel de 0.5 mg/l durant la distribution.</w:t>
      </w:r>
    </w:p>
    <w:p>
      <w:pPr>
        <w:spacing w:after="0" w:line="360" w:lineRule="auto"/>
        <w:jc w:val="center"/>
        <w:rPr>
          <w:rFonts w:asciiTheme="majorBidi" w:hAnsiTheme="majorBidi" w:cstheme="majorBidi"/>
          <w:b/>
          <w:bCs/>
          <w:sz w:val="28"/>
          <w:szCs w:val="28"/>
        </w:rPr>
      </w:pPr>
      <w:r>
        <w:rPr>
          <w:rFonts w:asciiTheme="majorBidi" w:hAnsiTheme="majorBidi" w:cstheme="majorBidi"/>
          <w:b/>
          <w:bCs/>
          <w:sz w:val="28"/>
          <w:szCs w:val="28"/>
        </w:rPr>
        <w:drawing>
          <wp:inline distT="0" distB="0" distL="0" distR="0">
            <wp:extent cx="4977765" cy="1647825"/>
            <wp:effectExtent l="88900" t="22225" r="51435" b="95250"/>
            <wp:docPr id="48" name="Image 9" descr="C:\Users\fatima\Desktop\20160316_09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9" descr="C:\Users\fatima\Desktop\20160316_095031.jpg"/>
                    <pic:cNvPicPr>
                      <a:picLocks noChangeAspect="1" noChangeArrowheads="1"/>
                    </pic:cNvPicPr>
                  </pic:nvPicPr>
                  <pic:blipFill>
                    <a:blip r:embed="rId52" cstate="print"/>
                    <a:srcRect/>
                    <a:stretch>
                      <a:fillRect/>
                    </a:stretch>
                  </pic:blipFill>
                  <pic:spPr>
                    <a:xfrm>
                      <a:off x="0" y="0"/>
                      <a:ext cx="4977792" cy="16478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Fig n°44 : point d’injection de chlore</w:t>
      </w:r>
    </w:p>
    <w:p>
      <w:pPr>
        <w:spacing w:after="0" w:line="360" w:lineRule="auto"/>
        <w:jc w:val="center"/>
        <w:rPr>
          <w:rFonts w:asciiTheme="majorBidi" w:hAnsiTheme="majorBidi" w:cstheme="majorBidi"/>
          <w:b/>
          <w:bCs/>
          <w:sz w:val="24"/>
          <w:szCs w:val="24"/>
        </w:rPr>
      </w:pPr>
    </w:p>
    <w:p>
      <w:pPr>
        <w:pStyle w:val="10"/>
        <w:numPr>
          <w:ilvl w:val="0"/>
          <w:numId w:val="25"/>
        </w:numPr>
        <w:tabs>
          <w:tab w:val="left" w:pos="4695"/>
        </w:tabs>
        <w:spacing w:after="0" w:line="360" w:lineRule="auto"/>
        <w:rPr>
          <w:rFonts w:asciiTheme="majorBidi" w:hAnsiTheme="majorBidi" w:cstheme="majorBidi"/>
          <w:b/>
          <w:bCs/>
          <w:sz w:val="24"/>
          <w:szCs w:val="24"/>
        </w:rPr>
      </w:pPr>
      <w:r>
        <w:rPr>
          <w:rFonts w:asciiTheme="majorBidi" w:hAnsiTheme="majorBidi" w:cstheme="majorBidi"/>
          <w:b/>
          <w:bCs/>
          <w:sz w:val="24"/>
          <w:szCs w:val="24"/>
        </w:rPr>
        <w:t>Stockages</w:t>
      </w:r>
    </w:p>
    <w:p>
      <w:pPr>
        <w:tabs>
          <w:tab w:val="left" w:pos="4695"/>
        </w:tabs>
        <w:spacing w:after="0" w:line="360" w:lineRule="auto"/>
        <w:ind w:firstLine="284"/>
        <w:rPr>
          <w:rFonts w:asciiTheme="majorBidi" w:hAnsiTheme="majorBidi" w:cstheme="majorBidi"/>
          <w:b/>
          <w:bCs/>
          <w:sz w:val="24"/>
          <w:szCs w:val="24"/>
        </w:rPr>
      </w:pPr>
      <w:r>
        <w:rPr>
          <w:rFonts w:asciiTheme="majorBidi" w:hAnsiTheme="majorBidi" w:cstheme="majorBidi"/>
          <w:sz w:val="24"/>
          <w:szCs w:val="24"/>
        </w:rPr>
        <w:t>Après l’étape de filtration sur sable, l’eau passe ver un  réservoir final de 12000 m³ (Le chlore est injecté dans le réservoir pour la désinfection totale des bactéries)</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Un instrument de mesure de chlore résiduel est installé en aval (sortie du réservoir). Qui assure le Suivi la qualité de l’eau pendant son stockage, le maintien d’une quantité résiduelle du désinfectant pendant le stockage  nous permet de garantir la qualité microbiologique de l’eau.</w:t>
      </w:r>
    </w:p>
    <w:p>
      <w:pPr>
        <w:spacing w:after="0" w:line="360" w:lineRule="auto"/>
        <w:jc w:val="both"/>
        <w:rPr>
          <w:rFonts w:asciiTheme="majorBidi" w:hAnsiTheme="majorBidi" w:cstheme="majorBidi"/>
          <w:sz w:val="24"/>
          <w:szCs w:val="24"/>
        </w:rPr>
      </w:pPr>
      <w:r>
        <w:rPr>
          <w:rFonts w:asciiTheme="majorBidi" w:hAnsiTheme="majorBidi" w:cstheme="majorBidi"/>
          <w:sz w:val="24"/>
          <w:szCs w:val="24"/>
        </w:rPr>
        <w:t>- La dose du désinfectant à mettre en œuvre est déterminée par control régulier au niveau de  réservoirs.</w:t>
      </w:r>
    </w:p>
    <w:p>
      <w:pPr>
        <w:spacing w:after="0" w:line="360" w:lineRule="auto"/>
        <w:jc w:val="both"/>
        <w:rPr>
          <w:rFonts w:asciiTheme="majorBidi" w:hAnsiTheme="majorBidi" w:cstheme="majorBidi"/>
          <w:sz w:val="24"/>
          <w:szCs w:val="24"/>
        </w:rPr>
      </w:pPr>
      <w:r>
        <w:rPr>
          <w:rFonts w:asciiTheme="majorBidi" w:hAnsiTheme="majorBidi" w:cstheme="majorBidi"/>
          <w:sz w:val="24"/>
          <w:szCs w:val="24"/>
        </w:rPr>
        <w:t>-  L’objectif essentiel étant que notre eau contienne au point le plus éloigné de la production une concentration résiduelle de chlore allant de 0.2 à0.6mg/l.</w:t>
      </w:r>
    </w:p>
    <w:p>
      <w:pPr>
        <w:pStyle w:val="10"/>
        <w:numPr>
          <w:ilvl w:val="0"/>
          <w:numId w:val="25"/>
        </w:numPr>
        <w:spacing w:after="0" w:line="360" w:lineRule="auto"/>
        <w:jc w:val="both"/>
        <w:rPr>
          <w:rFonts w:asciiTheme="majorBidi" w:hAnsiTheme="majorBidi" w:cstheme="majorBidi"/>
          <w:sz w:val="24"/>
          <w:szCs w:val="24"/>
        </w:rPr>
      </w:pPr>
      <w:r>
        <w:rPr>
          <w:rFonts w:asciiTheme="majorBidi" w:hAnsiTheme="majorBidi" w:cstheme="majorBidi"/>
          <w:b/>
          <w:bCs/>
          <w:sz w:val="24"/>
          <w:szCs w:val="24"/>
        </w:rPr>
        <w:t>Laboratoire chimique de la station</w:t>
      </w:r>
      <w:r>
        <w:rPr>
          <w:rFonts w:asciiTheme="majorBidi" w:hAnsiTheme="majorBidi" w:cstheme="majorBidi"/>
          <w:sz w:val="24"/>
          <w:szCs w:val="24"/>
        </w:rPr>
        <w:t xml:space="preserve"> (figure n°45)</w:t>
      </w:r>
      <w:r>
        <w:rPr>
          <w:rFonts w:asciiTheme="majorBidi" w:hAnsiTheme="majorBidi" w:cstheme="majorBidi"/>
          <w:b/>
          <w:bCs/>
          <w:sz w:val="24"/>
          <w:szCs w:val="24"/>
        </w:rPr>
        <w:t> :</w:t>
      </w:r>
    </w:p>
    <w:p>
      <w:pPr>
        <w:tabs>
          <w:tab w:val="left" w:pos="1935"/>
        </w:tabs>
        <w:spacing w:after="0" w:line="360" w:lineRule="auto"/>
        <w:ind w:firstLine="567"/>
        <w:rPr>
          <w:rFonts w:asciiTheme="majorBidi" w:hAnsiTheme="majorBidi" w:cstheme="majorBidi"/>
          <w:sz w:val="24"/>
          <w:szCs w:val="24"/>
        </w:rPr>
      </w:pPr>
      <w:r>
        <w:rPr>
          <w:rFonts w:asciiTheme="majorBidi" w:hAnsiTheme="majorBidi" w:cstheme="majorBidi"/>
          <w:sz w:val="24"/>
          <w:szCs w:val="24"/>
        </w:rPr>
        <w:t xml:space="preserve">Le rôle du laboratoire consiste à assurer l’autocontrôle c’est à dire, un suivi permanent de  la qualité de l’eau distribuée, le laboratoire assure des prestations de services et établissement des conventions d’analyse avec plusieurs organismes.  </w:t>
      </w:r>
    </w:p>
    <w:p>
      <w:pPr>
        <w:tabs>
          <w:tab w:val="left" w:pos="1935"/>
        </w:tabs>
        <w:spacing w:after="0" w:line="360" w:lineRule="auto"/>
        <w:rPr>
          <w:rFonts w:asciiTheme="majorBidi" w:hAnsiTheme="majorBidi" w:cstheme="majorBidi"/>
          <w:sz w:val="24"/>
          <w:szCs w:val="24"/>
        </w:rPr>
      </w:pPr>
      <w:r>
        <w:rPr>
          <w:rFonts w:asciiTheme="majorBidi" w:hAnsiTheme="majorBidi" w:cstheme="majorBidi"/>
          <w:sz w:val="24"/>
          <w:szCs w:val="24"/>
        </w:rPr>
        <w:t>Laboratoire de la station de kramis est divisé en deux parties : physico-chimiques et bactériologique.</w:t>
      </w:r>
    </w:p>
    <w:p>
      <w:pPr>
        <w:tabs>
          <w:tab w:val="left" w:pos="1935"/>
        </w:tabs>
        <w:spacing w:after="0" w:line="360" w:lineRule="auto"/>
        <w:ind w:firstLine="567"/>
        <w:jc w:val="both"/>
        <w:rPr>
          <w:rFonts w:asciiTheme="majorBidi" w:hAnsiTheme="majorBidi" w:cstheme="majorBidi"/>
          <w:sz w:val="24"/>
          <w:szCs w:val="24"/>
        </w:rPr>
      </w:pPr>
      <w:r>
        <w:rPr>
          <w:rFonts w:asciiTheme="majorBidi" w:hAnsiTheme="majorBidi" w:cstheme="majorBidi"/>
          <w:sz w:val="24"/>
          <w:szCs w:val="24"/>
        </w:rPr>
        <w:drawing>
          <wp:inline distT="0" distB="0" distL="0" distR="0">
            <wp:extent cx="5347335" cy="1943100"/>
            <wp:effectExtent l="88900" t="22225" r="50165" b="104775"/>
            <wp:docPr id="49" name="Image 6" descr="F:\kramis\photos\photo station\IMG_149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 name="Image 6" descr="F:\kramis\photos\photo station\IMG_1494.jpg"/>
                    <pic:cNvPicPr>
                      <a:picLocks noGrp="1" noChangeAspect="1" noChangeArrowheads="1"/>
                    </pic:cNvPicPr>
                  </pic:nvPicPr>
                  <pic:blipFill>
                    <a:blip r:embed="rId53" cstate="print"/>
                    <a:srcRect/>
                    <a:stretch>
                      <a:fillRect/>
                    </a:stretch>
                  </pic:blipFill>
                  <pic:spPr>
                    <a:xfrm>
                      <a:off x="0" y="0"/>
                      <a:ext cx="5348732" cy="19436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pPr>
        <w:spacing w:after="0" w:line="360" w:lineRule="auto"/>
        <w:jc w:val="center"/>
        <w:rPr>
          <w:rFonts w:asciiTheme="majorBidi" w:hAnsiTheme="majorBidi" w:cstheme="majorBidi"/>
          <w:sz w:val="24"/>
          <w:szCs w:val="24"/>
        </w:rPr>
      </w:pPr>
      <w:r>
        <w:rPr>
          <w:rFonts w:asciiTheme="majorBidi" w:hAnsiTheme="majorBidi" w:cstheme="majorBidi"/>
          <w:sz w:val="24"/>
          <w:szCs w:val="24"/>
        </w:rPr>
        <w:t xml:space="preserve">Fig n°45 : laboratoire chimique de la station. </w:t>
      </w: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sz w:val="24"/>
          <w:szCs w:val="24"/>
        </w:rPr>
      </w:pPr>
      <w:r>
        <w:rPr>
          <w:rFonts w:asciiTheme="majorBidi" w:hAnsiTheme="majorBidi" w:cstheme="majorBidi"/>
          <w:b/>
          <w:bCs/>
          <w:sz w:val="24"/>
          <w:szCs w:val="24"/>
        </w:rPr>
        <w:t>6.3. Etude de la qualité des eaux de barrage kramis </w:t>
      </w:r>
      <w:r>
        <w:rPr>
          <w:rFonts w:asciiTheme="majorBidi" w:hAnsiTheme="majorBidi" w:cstheme="majorBidi"/>
          <w:sz w:val="24"/>
          <w:szCs w:val="24"/>
        </w:rPr>
        <w:t>:</w:t>
      </w:r>
    </w:p>
    <w:p>
      <w:pPr>
        <w:tabs>
          <w:tab w:val="left" w:pos="1935"/>
        </w:tabs>
        <w:spacing w:after="0" w:line="360" w:lineRule="auto"/>
        <w:jc w:val="both"/>
        <w:rPr>
          <w:rFonts w:asciiTheme="majorBidi" w:hAnsiTheme="majorBidi" w:cstheme="majorBidi"/>
          <w:sz w:val="24"/>
          <w:szCs w:val="24"/>
        </w:rPr>
      </w:pPr>
      <w:r>
        <w:rPr>
          <w:rFonts w:asciiTheme="majorBidi" w:hAnsiTheme="majorBidi" w:cstheme="majorBidi"/>
          <w:b/>
          <w:bCs/>
          <w:sz w:val="24"/>
          <w:szCs w:val="24"/>
        </w:rPr>
        <w:t>6.3.1. L’eau brute</w:t>
      </w:r>
      <w:r>
        <w:rPr>
          <w:rFonts w:asciiTheme="majorBidi" w:hAnsiTheme="majorBidi" w:cstheme="majorBidi"/>
          <w:sz w:val="24"/>
          <w:szCs w:val="24"/>
        </w:rPr>
        <w:t> :</w:t>
      </w:r>
    </w:p>
    <w:p>
      <w:pPr>
        <w:tabs>
          <w:tab w:val="left" w:pos="1935"/>
        </w:tabs>
        <w:spacing w:after="0" w:line="360" w:lineRule="auto"/>
        <w:jc w:val="both"/>
        <w:rPr>
          <w:rFonts w:asciiTheme="majorBidi" w:hAnsiTheme="majorBidi" w:cstheme="majorBidi"/>
          <w:sz w:val="24"/>
          <w:szCs w:val="24"/>
        </w:rPr>
      </w:pPr>
      <w:r>
        <w:rPr>
          <w:rFonts w:asciiTheme="majorBidi" w:hAnsiTheme="majorBidi" w:cstheme="majorBidi"/>
          <w:sz w:val="24"/>
          <w:szCs w:val="24"/>
        </w:rPr>
        <w:t>Le tableau englobant les résultats d’analyses des paramètres physiques et chimiques.</w:t>
      </w:r>
    </w:p>
    <w:p>
      <w:pPr>
        <w:tabs>
          <w:tab w:val="left" w:pos="1935"/>
        </w:tabs>
        <w:spacing w:after="0" w:line="360" w:lineRule="auto"/>
        <w:jc w:val="center"/>
        <w:rPr>
          <w:rFonts w:asciiTheme="majorBidi" w:hAnsiTheme="majorBidi" w:cstheme="majorBidi"/>
          <w:sz w:val="24"/>
          <w:szCs w:val="24"/>
        </w:rPr>
      </w:pPr>
      <w:r>
        <w:rPr>
          <w:rFonts w:asciiTheme="majorBidi" w:hAnsiTheme="majorBidi" w:cstheme="majorBidi"/>
          <w:sz w:val="24"/>
          <w:szCs w:val="24"/>
        </w:rPr>
        <w:t>Tableau n° 21 : les analyses des paramètres physiques et chimiques de l’eau brute :</w:t>
      </w:r>
    </w:p>
    <w:tbl>
      <w:tblPr>
        <w:tblStyle w:val="11"/>
        <w:tblW w:w="10173"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526"/>
        <w:gridCol w:w="992"/>
        <w:gridCol w:w="992"/>
        <w:gridCol w:w="851"/>
        <w:gridCol w:w="850"/>
        <w:gridCol w:w="993"/>
        <w:gridCol w:w="992"/>
        <w:gridCol w:w="992"/>
        <w:gridCol w:w="992"/>
        <w:gridCol w:w="993"/>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tcBorders>
              <w:right w:val="single" w:color="auto" w:sz="4" w:space="0"/>
              <w:tl2br w:val="single" w:color="auto" w:sz="4" w:space="0"/>
            </w:tcBorders>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mois</w:t>
            </w:r>
          </w:p>
          <w:p>
            <w:pPr>
              <w:tabs>
                <w:tab w:val="left" w:pos="1935"/>
              </w:tabs>
              <w:spacing w:after="0" w:line="360" w:lineRule="auto"/>
              <w:jc w:val="center"/>
              <w:rPr>
                <w:rFonts w:asciiTheme="majorBidi" w:hAnsiTheme="majorBidi" w:cstheme="majorBidi"/>
              </w:rPr>
            </w:pPr>
            <w:r>
              <w:rPr>
                <w:rFonts w:asciiTheme="majorBidi" w:hAnsiTheme="majorBidi" w:cstheme="majorBidi"/>
              </w:rPr>
              <w:t>paramètre</w:t>
            </w:r>
          </w:p>
        </w:tc>
        <w:tc>
          <w:tcPr>
            <w:tcW w:w="992" w:type="dxa"/>
            <w:tcBorders>
              <w:left w:val="single" w:color="auto" w:sz="4" w:space="0"/>
            </w:tcBorders>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JAN</w:t>
            </w:r>
          </w:p>
        </w:tc>
        <w:tc>
          <w:tcPr>
            <w:tcW w:w="992"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FEV</w:t>
            </w:r>
          </w:p>
        </w:tc>
        <w:tc>
          <w:tcPr>
            <w:tcW w:w="851"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MAR</w:t>
            </w:r>
          </w:p>
        </w:tc>
        <w:tc>
          <w:tcPr>
            <w:tcW w:w="850"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AVR</w:t>
            </w:r>
          </w:p>
        </w:tc>
        <w:tc>
          <w:tcPr>
            <w:tcW w:w="993"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MAI</w:t>
            </w:r>
          </w:p>
        </w:tc>
        <w:tc>
          <w:tcPr>
            <w:tcW w:w="992"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JUI</w:t>
            </w:r>
          </w:p>
        </w:tc>
        <w:tc>
          <w:tcPr>
            <w:tcW w:w="992"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JUIT</w:t>
            </w:r>
          </w:p>
        </w:tc>
        <w:tc>
          <w:tcPr>
            <w:tcW w:w="992"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OCT</w:t>
            </w:r>
          </w:p>
        </w:tc>
        <w:tc>
          <w:tcPr>
            <w:tcW w:w="993"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NOV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PH</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8.3</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8.3</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8.3</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8.3</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8.3</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8.3</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8.3</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8.3</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8.3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Tueb (NTU)</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70-15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70-15</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28- 9</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28-9</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70.15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11-6.5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11-6.5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15-09</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42-11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Condu (µS/Cm)</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1630-1310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1360-1330</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2450-2390</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2555-2490</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1360-1310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2810-2840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3010-2940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2900</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2880-2760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NO</w:t>
            </w:r>
            <w:r>
              <w:rPr>
                <w:rFonts w:asciiTheme="majorBidi" w:hAnsiTheme="majorBidi" w:cstheme="majorBidi"/>
                <w:vertAlign w:val="superscript"/>
              </w:rPr>
              <w:t xml:space="preserve">3- </w:t>
            </w:r>
            <w:r>
              <w:rPr>
                <w:rFonts w:asciiTheme="majorBidi" w:hAnsiTheme="majorBidi" w:cstheme="majorBidi"/>
              </w:rPr>
              <w:t>(mg/l)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1.56</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1.56</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1.31</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1.31</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1.56</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1.56-1.45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1.56-1.46</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2.31-1.87</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2.31-1.87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PO</w:t>
            </w:r>
            <w:r>
              <w:rPr>
                <w:rFonts w:asciiTheme="majorBidi" w:hAnsiTheme="majorBidi" w:cstheme="majorBidi"/>
                <w:vertAlign w:val="subscript"/>
              </w:rPr>
              <w:t>4</w:t>
            </w:r>
            <w:r>
              <w:rPr>
                <w:rFonts w:asciiTheme="majorBidi" w:hAnsiTheme="majorBidi" w:cstheme="majorBidi"/>
                <w:vertAlign w:val="superscript"/>
              </w:rPr>
              <w:t xml:space="preserve">3- </w:t>
            </w:r>
            <w:r>
              <w:rPr>
                <w:rFonts w:asciiTheme="majorBidi" w:hAnsiTheme="majorBidi" w:cstheme="majorBidi"/>
              </w:rPr>
              <w:t>(mg/l)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SO</w:t>
            </w:r>
            <w:r>
              <w:rPr>
                <w:rFonts w:asciiTheme="majorBidi" w:hAnsiTheme="majorBidi" w:cstheme="majorBidi"/>
                <w:vertAlign w:val="superscript"/>
              </w:rPr>
              <w:t>2 -</w:t>
            </w:r>
            <w:r>
              <w:rPr>
                <w:rFonts w:asciiTheme="majorBidi" w:hAnsiTheme="majorBidi" w:cstheme="majorBidi"/>
              </w:rPr>
              <w:t>(mg/l)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130-120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130-120</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280-250</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320-270</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130-120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250-220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260-210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210-290</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167-112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NH</w:t>
            </w:r>
            <w:r>
              <w:rPr>
                <w:rFonts w:asciiTheme="majorBidi" w:hAnsiTheme="majorBidi" w:cstheme="majorBidi"/>
                <w:vertAlign w:val="superscript"/>
              </w:rPr>
              <w:t xml:space="preserve">4+ </w:t>
            </w:r>
            <w:r>
              <w:rPr>
                <w:rFonts w:asciiTheme="majorBidi" w:hAnsiTheme="majorBidi" w:cstheme="majorBidi"/>
              </w:rPr>
              <w:t>(</w:t>
            </w:r>
            <w:r>
              <w:rPr>
                <w:rFonts w:asciiTheme="majorBidi" w:hAnsiTheme="majorBidi" w:cstheme="majorBidi"/>
                <w:vertAlign w:val="superscript"/>
              </w:rPr>
              <w:t xml:space="preserve"> </w:t>
            </w:r>
            <w:r>
              <w:rPr>
                <w:rFonts w:asciiTheme="majorBidi" w:hAnsiTheme="majorBidi" w:cstheme="majorBidi"/>
              </w:rPr>
              <w:t>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0.196-0.154</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0.196-0.151</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0.155</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1.155</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0.196-0.154</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0.325-0.94</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0.21-0.65</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0.14-0.12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Fe</w:t>
            </w:r>
            <w:r>
              <w:rPr>
                <w:rFonts w:asciiTheme="majorBidi" w:hAnsiTheme="majorBidi" w:cstheme="majorBidi"/>
                <w:vertAlign w:val="superscript"/>
              </w:rPr>
              <w:t xml:space="preserve">2+ </w:t>
            </w:r>
            <w:r>
              <w:rPr>
                <w:rFonts w:asciiTheme="majorBidi" w:hAnsiTheme="majorBidi" w:cstheme="majorBidi"/>
              </w:rPr>
              <w:t>(</w:t>
            </w:r>
            <w:r>
              <w:rPr>
                <w:rFonts w:asciiTheme="majorBidi" w:hAnsiTheme="majorBidi" w:cstheme="majorBidi"/>
                <w:vertAlign w:val="superscript"/>
              </w:rPr>
              <w:t xml:space="preserve"> </w:t>
            </w:r>
            <w:r>
              <w:rPr>
                <w:rFonts w:asciiTheme="majorBidi" w:hAnsiTheme="majorBidi" w:cstheme="majorBidi"/>
              </w:rPr>
              <w:t>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0.01-0.02</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0.01-0.02</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00-0.01</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00-0.01</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0.01-0.02</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00-0.01</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00-0.01</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00-0.02</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00-0.01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Cl</w:t>
            </w:r>
            <w:r>
              <w:rPr>
                <w:rFonts w:asciiTheme="majorBidi" w:hAnsiTheme="majorBidi" w:cstheme="majorBidi"/>
                <w:vertAlign w:val="superscript"/>
              </w:rPr>
              <w:t>-</w:t>
            </w:r>
            <w:r>
              <w:rPr>
                <w:rFonts w:asciiTheme="majorBidi" w:hAnsiTheme="majorBidi" w:cstheme="majorBidi"/>
              </w:rPr>
              <w:t>(mg/l)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475-414</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475-417</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452-496</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447-488</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475-414</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475-445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475-446</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426-412</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638-630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MES (mg/l)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45</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45</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45</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50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48</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54</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RS 105° (</w:t>
            </w:r>
            <w:r>
              <w:rPr>
                <w:rFonts w:asciiTheme="majorBidi" w:hAnsiTheme="majorBidi" w:cstheme="majorBidi"/>
                <w:vertAlign w:val="superscript"/>
              </w:rPr>
              <w:t xml:space="preserve"> </w:t>
            </w:r>
            <w:r>
              <w:rPr>
                <w:rFonts w:asciiTheme="majorBidi" w:hAnsiTheme="majorBidi" w:cstheme="majorBidi"/>
              </w:rPr>
              <w:t>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1845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1845</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1845</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1845</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1845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1845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1935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1740</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1810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Ca</w:t>
            </w:r>
            <w:r>
              <w:rPr>
                <w:rFonts w:asciiTheme="majorBidi" w:hAnsiTheme="majorBidi" w:cstheme="majorBidi"/>
                <w:vertAlign w:val="superscript"/>
              </w:rPr>
              <w:t>2+</w:t>
            </w:r>
            <w:r>
              <w:rPr>
                <w:rFonts w:asciiTheme="majorBidi" w:hAnsiTheme="majorBidi" w:cstheme="majorBidi"/>
              </w:rPr>
              <w:t xml:space="preserve"> (mg/l)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280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280</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210</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240</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280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280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280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40</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41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Mg</w:t>
            </w:r>
            <w:r>
              <w:rPr>
                <w:rFonts w:asciiTheme="majorBidi" w:hAnsiTheme="majorBidi" w:cstheme="majorBidi"/>
                <w:vertAlign w:val="superscript"/>
              </w:rPr>
              <w:t>2+</w:t>
            </w:r>
            <w:r>
              <w:rPr>
                <w:rFonts w:asciiTheme="majorBidi" w:hAnsiTheme="majorBidi" w:cstheme="majorBidi"/>
              </w:rPr>
              <w:t xml:space="preserve"> (mg/l)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25</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12</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16</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18</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TH (mg/l)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90-95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90-95</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90-85</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90-85</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90-95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90-85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90-85</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58</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65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TA (mg/l)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1.2-00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1.2-00</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1.2-00</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1.2-00</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1.2-00</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1.2-1.3</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3-1.2</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00</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0.5-1.5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26" w:type="dxa"/>
            <w:shd w:val="clear" w:color="auto" w:fill="00B0F0"/>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TAC (mg/l)</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1.16</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116</w:t>
            </w:r>
          </w:p>
        </w:tc>
        <w:tc>
          <w:tcPr>
            <w:tcW w:w="851"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72</w:t>
            </w:r>
          </w:p>
        </w:tc>
        <w:tc>
          <w:tcPr>
            <w:tcW w:w="850"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72</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116</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116</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116</w:t>
            </w:r>
          </w:p>
        </w:tc>
        <w:tc>
          <w:tcPr>
            <w:tcW w:w="992"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19</w:t>
            </w:r>
          </w:p>
        </w:tc>
        <w:tc>
          <w:tcPr>
            <w:tcW w:w="993" w:type="dxa"/>
            <w:vAlign w:val="center"/>
          </w:tcPr>
          <w:p>
            <w:pPr>
              <w:tabs>
                <w:tab w:val="left" w:pos="1935"/>
              </w:tabs>
              <w:spacing w:after="0" w:line="360" w:lineRule="auto"/>
              <w:jc w:val="center"/>
              <w:rPr>
                <w:rFonts w:asciiTheme="majorBidi" w:hAnsiTheme="majorBidi" w:cstheme="majorBidi"/>
              </w:rPr>
            </w:pPr>
            <w:r>
              <w:rPr>
                <w:rFonts w:asciiTheme="majorBidi" w:hAnsiTheme="majorBidi" w:cstheme="majorBidi"/>
              </w:rPr>
              <w:t>20-17.5</w:t>
            </w:r>
          </w:p>
        </w:tc>
      </w:tr>
    </w:tbl>
    <w:p>
      <w:pPr>
        <w:tabs>
          <w:tab w:val="left" w:pos="1935"/>
        </w:tabs>
        <w:spacing w:after="0" w:line="360" w:lineRule="auto"/>
        <w:jc w:val="both"/>
        <w:rPr>
          <w:rFonts w:asciiTheme="majorBidi" w:hAnsiTheme="majorBidi" w:cstheme="majorBidi"/>
          <w:b/>
          <w:bCs/>
          <w:sz w:val="24"/>
          <w:szCs w:val="24"/>
        </w:rPr>
      </w:pPr>
    </w:p>
    <w:p>
      <w:pPr>
        <w:tabs>
          <w:tab w:val="left" w:pos="1935"/>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a. les caractéristiques organoleptiques :</w:t>
      </w:r>
    </w:p>
    <w:p>
      <w:pPr>
        <w:tabs>
          <w:tab w:val="left" w:pos="1935"/>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Ces caractéristiques englobent la turbidité, la couleur, l’odeur et le gout, jadis, lorsque les eaux renferment ces propriétés elles sont considérées comme potables.</w:t>
      </w:r>
    </w:p>
    <w:p>
      <w:pPr>
        <w:tabs>
          <w:tab w:val="left" w:pos="1935"/>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Pour notre cas on ne peut pas parlé sur la couleur, l’odeur et le gout à cause de manque des données. </w:t>
      </w:r>
    </w:p>
    <w:p>
      <w:pPr>
        <w:pStyle w:val="10"/>
        <w:numPr>
          <w:ilvl w:val="0"/>
          <w:numId w:val="34"/>
        </w:numPr>
        <w:tabs>
          <w:tab w:val="left" w:pos="1935"/>
        </w:tabs>
        <w:spacing w:after="0" w:line="360" w:lineRule="auto"/>
        <w:rPr>
          <w:rFonts w:asciiTheme="majorBidi" w:hAnsiTheme="majorBidi" w:cstheme="majorBidi"/>
          <w:b/>
          <w:bCs/>
          <w:sz w:val="24"/>
          <w:szCs w:val="24"/>
        </w:rPr>
      </w:pPr>
      <w:r>
        <w:rPr>
          <w:rFonts w:asciiTheme="majorBidi" w:hAnsiTheme="majorBidi" w:cstheme="majorBidi"/>
          <w:b/>
          <w:bCs/>
          <w:sz w:val="24"/>
          <w:szCs w:val="24"/>
        </w:rPr>
        <w:t>Turbidité :</w:t>
      </w:r>
    </w:p>
    <w:p>
      <w:pPr>
        <w:tabs>
          <w:tab w:val="left" w:pos="1935"/>
        </w:tabs>
        <w:spacing w:after="0" w:line="360" w:lineRule="auto"/>
        <w:ind w:firstLine="142"/>
        <w:rPr>
          <w:rFonts w:asciiTheme="majorBidi" w:hAnsiTheme="majorBidi" w:cstheme="majorBidi"/>
          <w:b/>
          <w:bCs/>
          <w:sz w:val="24"/>
          <w:szCs w:val="24"/>
        </w:rPr>
      </w:pPr>
      <w:r>
        <w:rPr>
          <w:rFonts w:asciiTheme="majorBidi" w:hAnsiTheme="majorBidi" w:cstheme="majorBidi"/>
          <w:b/>
          <w:bCs/>
          <w:sz w:val="24"/>
          <w:szCs w:val="24"/>
        </w:rPr>
        <w:t xml:space="preserve"> </w:t>
      </w:r>
      <w:r>
        <w:rPr>
          <w:rFonts w:asciiTheme="majorBidi" w:hAnsiTheme="majorBidi" w:cstheme="majorBidi"/>
          <w:sz w:val="24"/>
          <w:szCs w:val="24"/>
        </w:rPr>
        <w:t>La turbidité d’une eau est due à la présence de particules en suspension, elle peut aussi être due à la présence de particules inorganique.</w:t>
      </w:r>
    </w:p>
    <w:p>
      <w:pPr>
        <w:tabs>
          <w:tab w:val="left" w:pos="1935"/>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Les eaux brute caractérisé par une turbidité de 22.5NTU, donc elle dépassé les normes de potabilité (tableau n°21).</w:t>
      </w:r>
    </w:p>
    <w:p>
      <w:pPr>
        <w:tabs>
          <w:tab w:val="left" w:pos="1935"/>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b. paramètres physiques :</w:t>
      </w:r>
    </w:p>
    <w:p>
      <w:pPr>
        <w:pStyle w:val="10"/>
        <w:numPr>
          <w:ilvl w:val="0"/>
          <w:numId w:val="35"/>
        </w:numPr>
        <w:tabs>
          <w:tab w:val="left" w:pos="1935"/>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Température :</w:t>
      </w:r>
    </w:p>
    <w:p>
      <w:pPr>
        <w:tabs>
          <w:tab w:val="left" w:pos="1935"/>
        </w:tabs>
        <w:spacing w:after="0" w:line="360" w:lineRule="auto"/>
        <w:jc w:val="both"/>
        <w:rPr>
          <w:rFonts w:asciiTheme="majorBidi" w:hAnsiTheme="majorBidi" w:cstheme="majorBidi"/>
          <w:sz w:val="24"/>
          <w:szCs w:val="24"/>
        </w:rPr>
      </w:pPr>
      <w:r>
        <w:rPr>
          <w:rFonts w:asciiTheme="majorBidi" w:hAnsiTheme="majorBidi" w:cstheme="majorBidi"/>
          <w:sz w:val="24"/>
          <w:szCs w:val="24"/>
        </w:rPr>
        <w:t>Paramètre jouant un rôle primordial dans la solubilité des sels et surtout des gaz. Pour nos eaux échantillonnées, la température varie de 12  à 20°C.</w:t>
      </w:r>
    </w:p>
    <w:p>
      <w:pPr>
        <w:pStyle w:val="10"/>
        <w:numPr>
          <w:ilvl w:val="0"/>
          <w:numId w:val="35"/>
        </w:numPr>
        <w:tabs>
          <w:tab w:val="left" w:pos="1935"/>
        </w:tabs>
        <w:spacing w:after="0" w:line="360" w:lineRule="auto"/>
        <w:rPr>
          <w:rFonts w:asciiTheme="majorBidi" w:hAnsiTheme="majorBidi" w:cstheme="majorBidi"/>
          <w:sz w:val="24"/>
          <w:szCs w:val="24"/>
        </w:rPr>
      </w:pPr>
      <w:r>
        <w:rPr>
          <w:rFonts w:asciiTheme="majorBidi" w:hAnsiTheme="majorBidi" w:cstheme="majorBidi"/>
          <w:b/>
          <w:bCs/>
          <w:sz w:val="24"/>
          <w:szCs w:val="24"/>
        </w:rPr>
        <w:t>PH :</w:t>
      </w:r>
    </w:p>
    <w:p>
      <w:pPr>
        <w:tabs>
          <w:tab w:val="left" w:pos="1935"/>
        </w:tabs>
        <w:spacing w:after="0" w:line="360" w:lineRule="auto"/>
        <w:ind w:firstLine="567"/>
        <w:rPr>
          <w:rFonts w:asciiTheme="majorBidi" w:hAnsiTheme="majorBidi" w:cstheme="majorBidi"/>
          <w:sz w:val="24"/>
          <w:szCs w:val="24"/>
        </w:rPr>
      </w:pPr>
      <w:r>
        <w:rPr>
          <w:rFonts w:asciiTheme="majorBidi" w:hAnsiTheme="majorBidi" w:cstheme="majorBidi"/>
          <w:sz w:val="24"/>
          <w:szCs w:val="24"/>
        </w:rPr>
        <w:t>Le ph de l’eau représente son acidité et son alcalinité. L’eau brute du barrage kramis caractérisé par PH = 8.3.donnant une eau  généralement basique.</w:t>
      </w:r>
    </w:p>
    <w:p>
      <w:pPr>
        <w:pStyle w:val="10"/>
        <w:numPr>
          <w:ilvl w:val="0"/>
          <w:numId w:val="35"/>
        </w:numPr>
        <w:tabs>
          <w:tab w:val="left" w:pos="1935"/>
        </w:tabs>
        <w:spacing w:after="0" w:line="360" w:lineRule="auto"/>
        <w:rPr>
          <w:rFonts w:asciiTheme="majorBidi" w:hAnsiTheme="majorBidi" w:cstheme="majorBidi"/>
          <w:b/>
          <w:bCs/>
          <w:sz w:val="24"/>
          <w:szCs w:val="24"/>
        </w:rPr>
      </w:pPr>
      <w:r>
        <w:rPr>
          <w:rFonts w:asciiTheme="majorBidi" w:hAnsiTheme="majorBidi" w:cstheme="majorBidi"/>
          <w:b/>
          <w:bCs/>
          <w:sz w:val="24"/>
          <w:szCs w:val="24"/>
        </w:rPr>
        <w:t>Conductivité :</w:t>
      </w:r>
    </w:p>
    <w:p>
      <w:pPr>
        <w:autoSpaceDE w:val="0"/>
        <w:autoSpaceDN w:val="0"/>
        <w:adjustRightInd w:val="0"/>
        <w:spacing w:after="0" w:line="360" w:lineRule="auto"/>
        <w:rPr>
          <w:rFonts w:ascii="Times New Roman" w:hAnsi="Times New Roman" w:cs="Times New Roman"/>
          <w:sz w:val="24"/>
          <w:szCs w:val="24"/>
        </w:rPr>
      </w:pPr>
      <w:r>
        <w:rPr>
          <w:rFonts w:asciiTheme="majorBidi" w:hAnsiTheme="majorBidi" w:cstheme="majorBidi"/>
          <w:sz w:val="24"/>
          <w:szCs w:val="24"/>
        </w:rPr>
        <w:t>La conductivité permet d’apprécier le degré de minéralisation de l’eau dans la mesure où la plupart des matières dissoutes dans l’eau se trouvent sous forme d’ions chargés électriquement, la valeur de la conductivité de cette eau est : 2370µs/Cm en moyenne.</w:t>
      </w:r>
      <w:r>
        <w:rPr>
          <w:rFonts w:ascii="Times New Roman" w:hAnsi="Times New Roman" w:cs="Times New Roman"/>
          <w:sz w:val="24"/>
          <w:szCs w:val="24"/>
        </w:rPr>
        <w:t xml:space="preserve"> C’est grâce à la conductivité que nous pouvons estimer le degré de minéralisation de l’eau.</w:t>
      </w:r>
    </w:p>
    <w:p>
      <w:pPr>
        <w:pStyle w:val="10"/>
        <w:numPr>
          <w:ilvl w:val="0"/>
          <w:numId w:val="35"/>
        </w:numPr>
        <w:tabs>
          <w:tab w:val="left" w:pos="1935"/>
        </w:tabs>
        <w:spacing w:after="0" w:line="360" w:lineRule="auto"/>
        <w:rPr>
          <w:rFonts w:asciiTheme="majorBidi" w:hAnsiTheme="majorBidi" w:cstheme="majorBidi"/>
          <w:b/>
          <w:bCs/>
          <w:sz w:val="24"/>
          <w:szCs w:val="24"/>
        </w:rPr>
      </w:pPr>
      <w:r>
        <w:rPr>
          <w:rFonts w:asciiTheme="majorBidi" w:hAnsiTheme="majorBidi" w:cstheme="majorBidi"/>
          <w:b/>
          <w:bCs/>
          <w:sz w:val="24"/>
          <w:szCs w:val="24"/>
        </w:rPr>
        <w:t>Dureté (</w:t>
      </w:r>
      <w:r>
        <w:rPr>
          <w:sz w:val="24"/>
          <w:szCs w:val="24"/>
        </w:rPr>
        <w:t>Tableau n°22)</w:t>
      </w:r>
      <w:r>
        <w:rPr>
          <w:rFonts w:asciiTheme="majorBidi" w:hAnsiTheme="majorBidi" w:cstheme="majorBidi"/>
          <w:b/>
          <w:bCs/>
          <w:sz w:val="24"/>
          <w:szCs w:val="24"/>
        </w:rPr>
        <w:t> :</w:t>
      </w:r>
    </w:p>
    <w:p>
      <w:pPr>
        <w:tabs>
          <w:tab w:val="left" w:pos="1935"/>
        </w:tabs>
        <w:spacing w:after="0" w:line="360" w:lineRule="auto"/>
        <w:ind w:firstLine="567"/>
        <w:rPr>
          <w:sz w:val="24"/>
          <w:szCs w:val="24"/>
        </w:rPr>
      </w:pPr>
      <w:r>
        <w:rPr>
          <w:rFonts w:ascii="Times New Roman" w:hAnsi="Times New Roman" w:cs="Times New Roman"/>
          <w:sz w:val="24"/>
          <w:szCs w:val="24"/>
        </w:rPr>
        <w:t>Le titre hydrotimétrique est lié à la teneur en Ca</w:t>
      </w:r>
      <w:r>
        <w:rPr>
          <w:rFonts w:ascii="Times New Roman" w:hAnsi="Times New Roman" w:cs="Times New Roman"/>
          <w:sz w:val="24"/>
          <w:szCs w:val="24"/>
          <w:vertAlign w:val="superscript"/>
        </w:rPr>
        <w:t>2+</w:t>
      </w:r>
      <w:r>
        <w:rPr>
          <w:rFonts w:ascii="Times New Roman" w:hAnsi="Times New Roman" w:cs="Times New Roman"/>
          <w:sz w:val="24"/>
          <w:szCs w:val="24"/>
        </w:rPr>
        <w:t xml:space="preserve"> et Mg</w:t>
      </w:r>
      <w:r>
        <w:rPr>
          <w:rFonts w:ascii="Times New Roman" w:hAnsi="Times New Roman" w:cs="Times New Roman"/>
          <w:sz w:val="24"/>
          <w:szCs w:val="24"/>
          <w:vertAlign w:val="superscript"/>
        </w:rPr>
        <w:t>2+,</w:t>
      </w:r>
      <w:r>
        <w:rPr>
          <w:rFonts w:asciiTheme="majorBidi" w:hAnsiTheme="majorBidi" w:cstheme="majorBidi"/>
          <w:sz w:val="24"/>
          <w:szCs w:val="24"/>
        </w:rPr>
        <w:t xml:space="preserve"> pour notre  barrage TH varié ente  90 à95</w:t>
      </w:r>
      <w:r>
        <w:t xml:space="preserve"> </w:t>
      </w:r>
      <w:r>
        <w:rPr>
          <w:sz w:val="24"/>
          <w:szCs w:val="24"/>
        </w:rPr>
        <w:t>°F.</w:t>
      </w:r>
    </w:p>
    <w:p>
      <w:pPr>
        <w:tabs>
          <w:tab w:val="left" w:pos="1935"/>
        </w:tabs>
        <w:spacing w:after="0" w:line="360" w:lineRule="auto"/>
        <w:ind w:firstLine="567"/>
        <w:rPr>
          <w:sz w:val="24"/>
          <w:szCs w:val="24"/>
        </w:rPr>
      </w:pPr>
      <w:r>
        <w:rPr>
          <w:sz w:val="24"/>
          <w:szCs w:val="24"/>
        </w:rPr>
        <w:t>Tableau n°22 : Qualité de l’eau en fonction de TH.</w:t>
      </w:r>
    </w:p>
    <w:tbl>
      <w:tblPr>
        <w:tblStyle w:val="11"/>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504"/>
        <w:gridCol w:w="1495"/>
        <w:gridCol w:w="1557"/>
        <w:gridCol w:w="1492"/>
        <w:gridCol w:w="1481"/>
        <w:gridCol w:w="147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59" w:type="dxa"/>
            <w:shd w:val="clear" w:color="auto" w:fill="00B0F0"/>
          </w:tcPr>
          <w:p>
            <w:pPr>
              <w:tabs>
                <w:tab w:val="left" w:pos="1935"/>
              </w:tabs>
              <w:spacing w:after="0" w:line="360" w:lineRule="auto"/>
              <w:rPr>
                <w:b/>
                <w:bCs/>
                <w:sz w:val="24"/>
                <w:szCs w:val="24"/>
              </w:rPr>
            </w:pPr>
            <w:r>
              <w:rPr>
                <w:b/>
                <w:bCs/>
                <w:sz w:val="24"/>
                <w:szCs w:val="24"/>
              </w:rPr>
              <w:t>TH (°F)</w:t>
            </w:r>
          </w:p>
        </w:tc>
        <w:tc>
          <w:tcPr>
            <w:tcW w:w="1559" w:type="dxa"/>
            <w:shd w:val="clear" w:color="auto" w:fill="00B0F0"/>
          </w:tcPr>
          <w:p>
            <w:pPr>
              <w:tabs>
                <w:tab w:val="left" w:pos="1935"/>
              </w:tabs>
              <w:spacing w:after="0" w:line="360" w:lineRule="auto"/>
              <w:rPr>
                <w:b/>
                <w:bCs/>
                <w:sz w:val="24"/>
                <w:szCs w:val="24"/>
              </w:rPr>
            </w:pPr>
            <w:r>
              <w:rPr>
                <w:b/>
                <w:bCs/>
                <w:sz w:val="24"/>
                <w:szCs w:val="24"/>
              </w:rPr>
              <w:t>0-7</w:t>
            </w:r>
          </w:p>
        </w:tc>
        <w:tc>
          <w:tcPr>
            <w:tcW w:w="1559" w:type="dxa"/>
            <w:shd w:val="clear" w:color="auto" w:fill="00B0F0"/>
          </w:tcPr>
          <w:p>
            <w:pPr>
              <w:tabs>
                <w:tab w:val="left" w:pos="1935"/>
              </w:tabs>
              <w:spacing w:after="0" w:line="360" w:lineRule="auto"/>
              <w:rPr>
                <w:b/>
                <w:bCs/>
                <w:sz w:val="24"/>
                <w:szCs w:val="24"/>
              </w:rPr>
            </w:pPr>
            <w:r>
              <w:rPr>
                <w:b/>
                <w:bCs/>
                <w:sz w:val="24"/>
                <w:szCs w:val="24"/>
              </w:rPr>
              <w:t>7-22</w:t>
            </w:r>
          </w:p>
        </w:tc>
        <w:tc>
          <w:tcPr>
            <w:tcW w:w="1559" w:type="dxa"/>
            <w:shd w:val="clear" w:color="auto" w:fill="00B0F0"/>
          </w:tcPr>
          <w:p>
            <w:pPr>
              <w:tabs>
                <w:tab w:val="left" w:pos="1935"/>
              </w:tabs>
              <w:spacing w:after="0" w:line="360" w:lineRule="auto"/>
              <w:rPr>
                <w:b/>
                <w:bCs/>
                <w:sz w:val="24"/>
                <w:szCs w:val="24"/>
              </w:rPr>
            </w:pPr>
            <w:r>
              <w:rPr>
                <w:b/>
                <w:bCs/>
                <w:sz w:val="24"/>
                <w:szCs w:val="24"/>
              </w:rPr>
              <w:t>22-32</w:t>
            </w:r>
          </w:p>
        </w:tc>
        <w:tc>
          <w:tcPr>
            <w:tcW w:w="1559" w:type="dxa"/>
            <w:shd w:val="clear" w:color="auto" w:fill="00B0F0"/>
          </w:tcPr>
          <w:p>
            <w:pPr>
              <w:tabs>
                <w:tab w:val="left" w:pos="1935"/>
              </w:tabs>
              <w:spacing w:after="0" w:line="360" w:lineRule="auto"/>
              <w:rPr>
                <w:b/>
                <w:bCs/>
                <w:sz w:val="24"/>
                <w:szCs w:val="24"/>
              </w:rPr>
            </w:pPr>
            <w:r>
              <w:rPr>
                <w:b/>
                <w:bCs/>
                <w:sz w:val="24"/>
                <w:szCs w:val="24"/>
              </w:rPr>
              <w:t>32-54</w:t>
            </w:r>
          </w:p>
        </w:tc>
        <w:tc>
          <w:tcPr>
            <w:tcW w:w="1559" w:type="dxa"/>
            <w:shd w:val="clear" w:color="auto" w:fill="00B0F0"/>
          </w:tcPr>
          <w:p>
            <w:pPr>
              <w:tabs>
                <w:tab w:val="left" w:pos="1935"/>
              </w:tabs>
              <w:spacing w:after="0" w:line="360" w:lineRule="auto"/>
              <w:rPr>
                <w:b/>
                <w:bCs/>
                <w:sz w:val="24"/>
                <w:szCs w:val="24"/>
              </w:rPr>
            </w:pPr>
            <w:r>
              <w:rPr>
                <w:b/>
                <w:bCs/>
                <w:sz w:val="24"/>
                <w:szCs w:val="24"/>
              </w:rPr>
              <w:t>&gt;54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559" w:type="dxa"/>
            <w:shd w:val="clear" w:color="auto" w:fill="00B0F0"/>
          </w:tcPr>
          <w:p>
            <w:pPr>
              <w:tabs>
                <w:tab w:val="left" w:pos="1935"/>
              </w:tabs>
              <w:spacing w:after="0" w:line="360" w:lineRule="auto"/>
              <w:rPr>
                <w:b/>
                <w:bCs/>
                <w:sz w:val="24"/>
                <w:szCs w:val="24"/>
              </w:rPr>
            </w:pPr>
            <w:r>
              <w:rPr>
                <w:b/>
                <w:bCs/>
                <w:sz w:val="24"/>
                <w:szCs w:val="24"/>
              </w:rPr>
              <w:t xml:space="preserve">Qualité de l’eau </w:t>
            </w:r>
          </w:p>
        </w:tc>
        <w:tc>
          <w:tcPr>
            <w:tcW w:w="1559" w:type="dxa"/>
          </w:tcPr>
          <w:p>
            <w:pPr>
              <w:tabs>
                <w:tab w:val="left" w:pos="1935"/>
              </w:tabs>
              <w:spacing w:after="0" w:line="360" w:lineRule="auto"/>
              <w:rPr>
                <w:b/>
                <w:bCs/>
                <w:sz w:val="24"/>
                <w:szCs w:val="24"/>
              </w:rPr>
            </w:pPr>
            <w:r>
              <w:rPr>
                <w:b/>
                <w:bCs/>
                <w:sz w:val="24"/>
                <w:szCs w:val="24"/>
              </w:rPr>
              <w:t xml:space="preserve">Douce </w:t>
            </w:r>
          </w:p>
        </w:tc>
        <w:tc>
          <w:tcPr>
            <w:tcW w:w="1559" w:type="dxa"/>
          </w:tcPr>
          <w:p>
            <w:pPr>
              <w:tabs>
                <w:tab w:val="left" w:pos="1935"/>
              </w:tabs>
              <w:spacing w:after="0" w:line="360" w:lineRule="auto"/>
              <w:rPr>
                <w:b/>
                <w:bCs/>
                <w:sz w:val="24"/>
                <w:szCs w:val="24"/>
              </w:rPr>
            </w:pPr>
            <w:r>
              <w:rPr>
                <w:b/>
                <w:bCs/>
                <w:sz w:val="24"/>
                <w:szCs w:val="24"/>
              </w:rPr>
              <w:t xml:space="preserve">Modérément douce </w:t>
            </w:r>
          </w:p>
        </w:tc>
        <w:tc>
          <w:tcPr>
            <w:tcW w:w="1559" w:type="dxa"/>
          </w:tcPr>
          <w:p>
            <w:pPr>
              <w:tabs>
                <w:tab w:val="left" w:pos="1935"/>
              </w:tabs>
              <w:spacing w:after="0" w:line="360" w:lineRule="auto"/>
              <w:rPr>
                <w:b/>
                <w:bCs/>
                <w:sz w:val="24"/>
                <w:szCs w:val="24"/>
              </w:rPr>
            </w:pPr>
            <w:r>
              <w:rPr>
                <w:b/>
                <w:bCs/>
                <w:sz w:val="24"/>
                <w:szCs w:val="24"/>
              </w:rPr>
              <w:t xml:space="preserve">Assez douce </w:t>
            </w:r>
          </w:p>
        </w:tc>
        <w:tc>
          <w:tcPr>
            <w:tcW w:w="1559" w:type="dxa"/>
          </w:tcPr>
          <w:p>
            <w:pPr>
              <w:tabs>
                <w:tab w:val="left" w:pos="1935"/>
              </w:tabs>
              <w:spacing w:after="0" w:line="360" w:lineRule="auto"/>
              <w:rPr>
                <w:b/>
                <w:bCs/>
                <w:sz w:val="24"/>
                <w:szCs w:val="24"/>
              </w:rPr>
            </w:pPr>
            <w:r>
              <w:rPr>
                <w:b/>
                <w:bCs/>
                <w:sz w:val="24"/>
                <w:szCs w:val="24"/>
              </w:rPr>
              <w:t xml:space="preserve">Dure </w:t>
            </w:r>
          </w:p>
        </w:tc>
        <w:tc>
          <w:tcPr>
            <w:tcW w:w="1559" w:type="dxa"/>
          </w:tcPr>
          <w:p>
            <w:pPr>
              <w:tabs>
                <w:tab w:val="left" w:pos="1935"/>
              </w:tabs>
              <w:spacing w:after="0" w:line="360" w:lineRule="auto"/>
              <w:rPr>
                <w:b/>
                <w:bCs/>
                <w:sz w:val="24"/>
                <w:szCs w:val="24"/>
              </w:rPr>
            </w:pPr>
            <w:r>
              <w:rPr>
                <w:b/>
                <w:bCs/>
                <w:sz w:val="24"/>
                <w:szCs w:val="24"/>
              </w:rPr>
              <w:t xml:space="preserve">Très dur </w:t>
            </w:r>
          </w:p>
        </w:tc>
      </w:tr>
    </w:tbl>
    <w:p>
      <w:pPr>
        <w:tabs>
          <w:tab w:val="left" w:pos="1935"/>
        </w:tabs>
        <w:spacing w:after="0" w:line="360" w:lineRule="auto"/>
        <w:ind w:firstLine="284"/>
        <w:rPr>
          <w:rFonts w:asciiTheme="majorBidi" w:hAnsiTheme="majorBidi" w:cstheme="majorBidi"/>
          <w:sz w:val="24"/>
          <w:szCs w:val="24"/>
        </w:rPr>
      </w:pPr>
    </w:p>
    <w:p>
      <w:pPr>
        <w:tabs>
          <w:tab w:val="left" w:pos="1935"/>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A partir de tableau n°22 les résultats de notre étude et supérieure à 54°F, ce qui donne à l’eau son caractère très dur.</w:t>
      </w:r>
    </w:p>
    <w:p>
      <w:pPr>
        <w:autoSpaceDE w:val="0"/>
        <w:autoSpaceDN w:val="0"/>
        <w:adjustRightInd w:val="0"/>
        <w:spacing w:after="0" w:line="360" w:lineRule="auto"/>
        <w:rPr>
          <w:rFonts w:asciiTheme="majorBidi" w:hAnsiTheme="majorBidi" w:cstheme="majorBidi"/>
          <w:b/>
          <w:bCs/>
          <w:sz w:val="24"/>
          <w:szCs w:val="24"/>
        </w:rPr>
      </w:pPr>
      <w:r>
        <w:rPr>
          <w:rFonts w:asciiTheme="majorBidi" w:hAnsiTheme="majorBidi" w:cstheme="majorBidi"/>
          <w:b/>
          <w:bCs/>
          <w:sz w:val="24"/>
          <w:szCs w:val="24"/>
        </w:rPr>
        <w:t>Résidu sec :</w:t>
      </w:r>
    </w:p>
    <w:p>
      <w:pPr>
        <w:autoSpaceDE w:val="0"/>
        <w:autoSpaceDN w:val="0"/>
        <w:adjustRightInd w:val="0"/>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 Il représente la quantité dissoute en matière minérale, les eaux brutes du barrga de Kramis se caractérisent par un résidu sec de 1845 mg/l en moyenne, respectant ainsi les  normes de potabilité </w:t>
      </w:r>
    </w:p>
    <w:p>
      <w:pPr>
        <w:tabs>
          <w:tab w:val="left" w:pos="1935"/>
        </w:tabs>
        <w:spacing w:after="0" w:line="360" w:lineRule="auto"/>
        <w:rPr>
          <w:rFonts w:asciiTheme="majorBidi" w:hAnsiTheme="majorBidi" w:cstheme="majorBidi"/>
          <w:b/>
          <w:bCs/>
          <w:sz w:val="24"/>
          <w:szCs w:val="24"/>
        </w:rPr>
      </w:pPr>
      <w:r>
        <w:rPr>
          <w:rFonts w:asciiTheme="majorBidi" w:hAnsiTheme="majorBidi" w:cstheme="majorBidi"/>
          <w:b/>
          <w:bCs/>
          <w:sz w:val="24"/>
          <w:szCs w:val="24"/>
        </w:rPr>
        <w:t>c. Paramètres chimiques :</w:t>
      </w:r>
    </w:p>
    <w:p>
      <w:pPr>
        <w:pStyle w:val="10"/>
        <w:numPr>
          <w:ilvl w:val="0"/>
          <w:numId w:val="35"/>
        </w:numPr>
        <w:tabs>
          <w:tab w:val="left" w:pos="1935"/>
        </w:tabs>
        <w:spacing w:after="0" w:line="360" w:lineRule="auto"/>
        <w:rPr>
          <w:rFonts w:asciiTheme="majorBidi" w:hAnsiTheme="majorBidi" w:cstheme="majorBidi"/>
          <w:b/>
          <w:bCs/>
          <w:sz w:val="24"/>
          <w:szCs w:val="24"/>
        </w:rPr>
      </w:pPr>
      <w:r>
        <w:rPr>
          <w:rFonts w:asciiTheme="majorBidi" w:hAnsiTheme="majorBidi" w:cstheme="majorBidi"/>
          <w:b/>
          <w:bCs/>
          <w:sz w:val="24"/>
          <w:szCs w:val="24"/>
        </w:rPr>
        <w:t>Balance ionique :</w:t>
      </w:r>
    </w:p>
    <w:p>
      <w:pPr>
        <w:tabs>
          <w:tab w:val="left" w:pos="1935"/>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Pour notre cas, nous ne pouvons pas calculer la balance ionique car la station de traitement étudiée ne fait pas le dosage sur les cations de Sodium Na</w:t>
      </w:r>
      <w:r>
        <w:rPr>
          <w:rFonts w:asciiTheme="majorBidi" w:hAnsiTheme="majorBidi" w:cstheme="majorBidi"/>
          <w:sz w:val="24"/>
          <w:szCs w:val="24"/>
          <w:vertAlign w:val="superscript"/>
        </w:rPr>
        <w:t>+</w:t>
      </w:r>
      <w:r>
        <w:rPr>
          <w:rFonts w:asciiTheme="majorBidi" w:hAnsiTheme="majorBidi" w:cstheme="majorBidi"/>
          <w:sz w:val="24"/>
          <w:szCs w:val="24"/>
        </w:rPr>
        <w:t xml:space="preserve"> et  potassium K</w:t>
      </w:r>
      <w:r>
        <w:rPr>
          <w:rFonts w:asciiTheme="majorBidi" w:hAnsiTheme="majorBidi" w:cstheme="majorBidi"/>
          <w:sz w:val="24"/>
          <w:szCs w:val="24"/>
          <w:vertAlign w:val="superscript"/>
        </w:rPr>
        <w:t>+</w:t>
      </w:r>
      <w:r>
        <w:rPr>
          <w:rFonts w:asciiTheme="majorBidi" w:hAnsiTheme="majorBidi" w:cstheme="majorBidi"/>
          <w:sz w:val="24"/>
          <w:szCs w:val="24"/>
        </w:rPr>
        <w:t>, ceci influencera par la suite sur la détermination du faciès chimique par le diagramme de piper. Or que le diagramme de shoeller-berkaloff va servir à la détermination du faciès chimique</w:t>
      </w:r>
    </w:p>
    <w:p>
      <w:pPr>
        <w:tabs>
          <w:tab w:val="left" w:pos="1935"/>
        </w:tabs>
        <w:spacing w:after="0" w:line="360" w:lineRule="auto"/>
        <w:rPr>
          <w:rFonts w:ascii="Times New Roman" w:hAnsi="Times New Roman" w:cs="Times New Roman"/>
          <w:sz w:val="24"/>
          <w:szCs w:val="24"/>
        </w:rPr>
      </w:pPr>
      <w:r>
        <w:rPr>
          <w:rFonts w:ascii="Times New Roman" w:hAnsi="Times New Roman" w:cs="Times New Roman"/>
          <w:sz w:val="24"/>
          <w:szCs w:val="24"/>
        </w:rPr>
        <w:t>Pour obtenir les teneures de Na</w:t>
      </w:r>
      <w:r>
        <w:rPr>
          <w:rFonts w:ascii="Times New Roman" w:hAnsi="Times New Roman" w:cs="Times New Roman"/>
          <w:sz w:val="24"/>
          <w:szCs w:val="24"/>
          <w:vertAlign w:val="superscript"/>
        </w:rPr>
        <w:t>+</w:t>
      </w:r>
      <w:r>
        <w:rPr>
          <w:rFonts w:ascii="Times New Roman" w:hAnsi="Times New Roman" w:cs="Times New Roman"/>
          <w:sz w:val="24"/>
          <w:szCs w:val="24"/>
        </w:rPr>
        <w:t xml:space="preserve"> et K</w:t>
      </w:r>
      <w:r>
        <w:rPr>
          <w:rFonts w:ascii="Times New Roman" w:hAnsi="Times New Roman" w:cs="Times New Roman"/>
          <w:sz w:val="24"/>
          <w:szCs w:val="24"/>
          <w:vertAlign w:val="superscript"/>
        </w:rPr>
        <w:t>+</w:t>
      </w:r>
      <w:r>
        <w:rPr>
          <w:rFonts w:ascii="Times New Roman" w:hAnsi="Times New Roman" w:cs="Times New Roman"/>
          <w:sz w:val="24"/>
          <w:szCs w:val="24"/>
        </w:rPr>
        <w:t xml:space="preserve">, nous avons adopté la méthode suivante : </w:t>
      </w:r>
    </w:p>
    <w:p>
      <w:pPr>
        <w:pStyle w:val="10"/>
        <w:numPr>
          <w:ilvl w:val="0"/>
          <w:numId w:val="35"/>
        </w:numPr>
        <w:tabs>
          <w:tab w:val="left" w:pos="1935"/>
        </w:tabs>
        <w:spacing w:after="0" w:line="360" w:lineRule="auto"/>
        <w:rPr>
          <w:rFonts w:asciiTheme="majorBidi" w:hAnsiTheme="majorBidi" w:cstheme="majorBidi"/>
          <w:sz w:val="24"/>
          <w:szCs w:val="24"/>
        </w:rPr>
      </w:pPr>
      <w:r>
        <w:rPr>
          <w:rFonts w:ascii="Times New Roman" w:hAnsi="Times New Roman" w:eastAsia="Times New Roman" w:cs="Times New Roman"/>
          <w:b/>
          <w:bCs/>
          <w:sz w:val="24"/>
          <w:szCs w:val="24"/>
        </w:rPr>
        <w:t>Calcule de minéralisation à partir de la conductivité :</w:t>
      </w:r>
    </w:p>
    <w:p>
      <w:pPr>
        <w:tabs>
          <w:tab w:val="left" w:pos="1935"/>
        </w:tabs>
        <w:spacing w:after="0" w:line="360" w:lineRule="auto"/>
        <w:jc w:val="center"/>
        <w:rPr>
          <w:rFonts w:asciiTheme="majorBidi" w:hAnsiTheme="majorBidi" w:cstheme="majorBidi"/>
          <w:sz w:val="24"/>
          <w:szCs w:val="24"/>
        </w:rPr>
      </w:pPr>
      <w:r>
        <w:rPr>
          <w:rFonts w:ascii="Times New Roman" w:hAnsi="Times New Roman" w:eastAsia="Times New Roman" w:cs="Times New Roman"/>
          <w:sz w:val="24"/>
          <w:szCs w:val="24"/>
        </w:rPr>
        <w:t>Tableau n°23 : La table de calcul de la minéralisation nous permet à partir de la conductivité</w:t>
      </w:r>
    </w:p>
    <w:tbl>
      <w:tblPr>
        <w:tblStyle w:val="12"/>
        <w:tblW w:w="0" w:type="auto"/>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Layout w:type="autofit"/>
        <w:tblCellMar>
          <w:top w:w="0" w:type="dxa"/>
          <w:left w:w="108" w:type="dxa"/>
          <w:bottom w:w="0" w:type="dxa"/>
          <w:right w:w="108" w:type="dxa"/>
        </w:tblCellMar>
      </w:tblPr>
      <w:tblGrid>
        <w:gridCol w:w="4487"/>
        <w:gridCol w:w="4157"/>
      </w:tblGrid>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rPr>
          <w:trHeight w:val="165" w:hRule="atLeast"/>
        </w:trPr>
        <w:tc>
          <w:tcPr>
            <w:tcW w:w="4487" w:type="dxa"/>
            <w:tcBorders>
              <w:top w:val="single" w:color="4F81BD" w:themeColor="accent1" w:sz="8" w:space="0"/>
              <w:left w:val="single" w:color="4F81BD" w:themeColor="accent1" w:sz="8" w:space="0"/>
              <w:bottom w:val="single" w:color="4F81BD" w:themeColor="accent1" w:sz="18" w:space="0"/>
              <w:right w:val="single" w:color="4F81BD" w:themeColor="accent1" w:sz="8" w:space="0"/>
              <w:insideH w:val="single" w:sz="18" w:space="0"/>
              <w:insideV w:val="single" w:sz="8" w:space="0"/>
            </w:tcBorders>
          </w:tcPr>
          <w:p>
            <w:pPr>
              <w:spacing w:before="100" w:beforeAutospacing="1" w:after="100" w:afterAutospacing="1" w:line="240" w:lineRule="auto"/>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Conductivité uS/cm</w:t>
            </w:r>
          </w:p>
        </w:tc>
        <w:tc>
          <w:tcPr>
            <w:tcW w:w="4157" w:type="dxa"/>
            <w:tcBorders>
              <w:top w:val="single" w:color="4F81BD" w:themeColor="accent1" w:sz="8" w:space="0"/>
              <w:bottom w:val="single" w:color="4F81BD" w:themeColor="accent1" w:sz="18" w:space="0"/>
              <w:right w:val="single" w:color="4F81BD" w:themeColor="accent1" w:sz="8" w:space="0"/>
              <w:insideH w:val="single" w:sz="18" w:space="0"/>
              <w:insideV w:val="single" w:sz="8" w:space="0"/>
            </w:tcBorders>
          </w:tcPr>
          <w:p>
            <w:pPr>
              <w:spacing w:before="100" w:beforeAutospacing="1" w:after="100" w:afterAutospacing="1" w:line="240" w:lineRule="auto"/>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Minéralisation mg/l</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rPr>
          <w:trHeight w:val="174" w:hRule="atLeast"/>
        </w:trPr>
        <w:tc>
          <w:tcPr>
            <w:tcW w:w="448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before="100" w:beforeAutospacing="1" w:after="100" w:afterAutospacing="1" w:line="240" w:lineRule="auto"/>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Conductivité&lt; 50 uS/cm</w:t>
            </w:r>
          </w:p>
        </w:tc>
        <w:tc>
          <w:tcPr>
            <w:tcW w:w="4157"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before="100" w:beforeAutospacing="1" w:after="100" w:afterAutospacing="1"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1.365079. conductivité</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rPr>
          <w:trHeight w:val="165" w:hRule="atLeast"/>
        </w:trPr>
        <w:tc>
          <w:tcPr>
            <w:tcW w:w="448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before="100" w:beforeAutospacing="1" w:after="100" w:afterAutospacing="1" w:line="240" w:lineRule="auto"/>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Conductivité [50 à 166] uS/cm</w:t>
            </w:r>
          </w:p>
        </w:tc>
        <w:tc>
          <w:tcPr>
            <w:tcW w:w="4157"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before="100" w:beforeAutospacing="1" w:after="100" w:afterAutospacing="1"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0.947658. conductivité</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rPr>
          <w:trHeight w:val="165" w:hRule="atLeast"/>
        </w:trPr>
        <w:tc>
          <w:tcPr>
            <w:tcW w:w="448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before="100" w:beforeAutospacing="1" w:after="100" w:afterAutospacing="1" w:line="240" w:lineRule="auto"/>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Conductivité [166-333] uS/cm</w:t>
            </w:r>
          </w:p>
        </w:tc>
        <w:tc>
          <w:tcPr>
            <w:tcW w:w="4157"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before="100" w:beforeAutospacing="1" w:after="100" w:afterAutospacing="1"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0.769574. conductivité</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rPr>
          <w:trHeight w:val="174" w:hRule="atLeast"/>
        </w:trPr>
        <w:tc>
          <w:tcPr>
            <w:tcW w:w="448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before="100" w:beforeAutospacing="1" w:after="100" w:afterAutospacing="1" w:line="240" w:lineRule="auto"/>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Conductivité [333-833] uS/cm</w:t>
            </w:r>
          </w:p>
        </w:tc>
        <w:tc>
          <w:tcPr>
            <w:tcW w:w="4157"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before="100" w:beforeAutospacing="1" w:after="100" w:afterAutospacing="1"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0.715920. conductivité</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rPr>
          <w:trHeight w:val="165" w:hRule="atLeast"/>
        </w:trPr>
        <w:tc>
          <w:tcPr>
            <w:tcW w:w="4487" w:type="dxa"/>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before="100" w:beforeAutospacing="1" w:after="100" w:afterAutospacing="1" w:line="240" w:lineRule="auto"/>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Conductivité [833-10000] uS/cm</w:t>
            </w:r>
          </w:p>
        </w:tc>
        <w:tc>
          <w:tcPr>
            <w:tcW w:w="4157" w:type="dxa"/>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before="100" w:beforeAutospacing="1" w:after="100" w:afterAutospacing="1"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0.758544. conductivité</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rPr>
          <w:trHeight w:val="276" w:hRule="atLeast"/>
        </w:trPr>
        <w:tc>
          <w:tcPr>
            <w:tcW w:w="4487" w:type="dxa"/>
            <w:vMerge w:val="restart"/>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before="100" w:beforeAutospacing="1" w:after="100" w:afterAutospacing="1" w:line="240" w:lineRule="auto"/>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Conductivité &gt; 10000 uS/cm</w:t>
            </w:r>
          </w:p>
        </w:tc>
        <w:tc>
          <w:tcPr>
            <w:tcW w:w="4157" w:type="dxa"/>
            <w:vMerge w:val="restart"/>
            <w:tcBorders>
              <w:top w:val="single" w:color="4F81BD" w:themeColor="accent1" w:sz="8" w:space="0"/>
              <w:bottom w:val="single" w:color="4F81BD" w:themeColor="accent1" w:sz="8" w:space="0"/>
              <w:right w:val="single" w:color="4F81BD" w:themeColor="accent1" w:sz="8" w:space="0"/>
              <w:insideH w:val="single" w:sz="8" w:space="0"/>
              <w:insideV w:val="single" w:sz="8" w:space="0"/>
            </w:tcBorders>
          </w:tcPr>
          <w:p>
            <w:pPr>
              <w:spacing w:before="100" w:beforeAutospacing="1" w:after="100" w:afterAutospacing="1"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0.850432. conductivité</w:t>
            </w:r>
          </w:p>
        </w:tc>
      </w:tr>
      <w:tr>
        <w:tblPrEx>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Ex>
        <w:trPr>
          <w:trHeight w:val="276" w:hRule="atLeast"/>
        </w:trPr>
        <w:tc>
          <w:tcPr>
            <w:tcW w:w="4487" w:type="dxa"/>
            <w:vMerge w:val="continue"/>
            <w:tcBorders>
              <w:top w:val="single" w:color="4F81BD" w:themeColor="accent1" w:sz="8" w:space="0"/>
              <w:left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ascii="Times New Roman" w:hAnsi="Times New Roman" w:eastAsia="Times New Roman" w:cs="Times New Roman"/>
                <w:b/>
                <w:bCs/>
                <w:sz w:val="24"/>
                <w:szCs w:val="24"/>
              </w:rPr>
            </w:pPr>
          </w:p>
        </w:tc>
        <w:tc>
          <w:tcPr>
            <w:tcW w:w="4157" w:type="dxa"/>
            <w:vMerge w:val="continue"/>
            <w:tcBorders>
              <w:top w:val="single" w:color="4F81BD" w:themeColor="accent1" w:sz="8" w:space="0"/>
              <w:bottom w:val="single" w:color="4F81BD" w:themeColor="accent1" w:sz="8" w:space="0"/>
              <w:right w:val="single" w:color="4F81BD" w:themeColor="accent1" w:sz="8" w:space="0"/>
              <w:insideH w:val="single" w:sz="8" w:space="0"/>
              <w:insideV w:val="single" w:sz="8" w:space="0"/>
            </w:tcBorders>
            <w:shd w:val="clear" w:color="auto" w:fill="D3DFEE" w:themeFill="accent1" w:themeFillTint="3F"/>
          </w:tcPr>
          <w:p>
            <w:pPr>
              <w:spacing w:after="0" w:line="240" w:lineRule="auto"/>
              <w:jc w:val="center"/>
              <w:rPr>
                <w:rFonts w:ascii="Times New Roman" w:hAnsi="Times New Roman" w:eastAsia="Times New Roman" w:cs="Times New Roman"/>
                <w:sz w:val="24"/>
                <w:szCs w:val="24"/>
              </w:rPr>
            </w:pPr>
          </w:p>
        </w:tc>
      </w:tr>
    </w:tbl>
    <w:p>
      <w:pPr>
        <w:spacing w:after="0" w:line="360" w:lineRule="auto"/>
        <w:ind w:firstLine="567"/>
        <w:rPr>
          <w:rFonts w:ascii="Times New Roman" w:hAnsi="Times New Roman" w:eastAsia="Times New Roman" w:cs="Times New Roman"/>
          <w:sz w:val="24"/>
          <w:szCs w:val="24"/>
        </w:rPr>
      </w:pPr>
    </w:p>
    <w:p>
      <w:pPr>
        <w:spacing w:after="0" w:line="360" w:lineRule="auto"/>
        <w:ind w:firstLine="567"/>
        <w:rPr>
          <w:rFonts w:ascii="Times New Roman" w:hAnsi="Times New Roman" w:eastAsia="Times New Roman" w:cs="Times New Roman"/>
          <w:b/>
          <w:bCs/>
          <w:sz w:val="24"/>
          <w:szCs w:val="24"/>
        </w:rPr>
      </w:pPr>
      <w:r>
        <w:rPr>
          <w:rFonts w:ascii="Times New Roman" w:hAnsi="Times New Roman" w:eastAsia="Times New Roman" w:cs="Times New Roman"/>
          <w:sz w:val="24"/>
          <w:szCs w:val="24"/>
        </w:rPr>
        <w:t xml:space="preserve">D'après cette table, la conductivité est comprise entre [833-10000] uS/cm, donc la minéralisation à 20 °C en mg/l est de0.758544.                                                                                                                                                                                                                                                      </w:t>
      </w:r>
      <w:r>
        <w:rPr>
          <w:rFonts w:ascii="Times New Roman" w:hAnsi="Times New Roman" w:eastAsia="Times New Roman" w:cs="Times New Roman"/>
          <w:b/>
          <w:bCs/>
          <w:sz w:val="24"/>
          <w:szCs w:val="24"/>
        </w:rPr>
        <w:t>M =</w:t>
      </w:r>
      <w:r>
        <w:rPr>
          <w:rFonts w:ascii="Times New Roman" w:hAnsi="Times New Roman" w:eastAsia="Times New Roman" w:cs="Times New Roman"/>
          <w:sz w:val="24"/>
          <w:szCs w:val="24"/>
        </w:rPr>
        <w:t>0.758544</w:t>
      </w:r>
      <w:r>
        <w:rPr>
          <w:rFonts w:ascii="Times New Roman" w:hAnsi="Times New Roman" w:eastAsia="Times New Roman" w:cs="Times New Roman"/>
          <w:b/>
          <w:bCs/>
          <w:sz w:val="24"/>
          <w:szCs w:val="24"/>
        </w:rPr>
        <w:t>*C</w:t>
      </w:r>
      <w:r>
        <w:rPr>
          <w:rFonts w:ascii="Times New Roman" w:hAnsi="Times New Roman" w:eastAsia="Times New Roman" w:cs="Times New Roman"/>
          <w:sz w:val="24"/>
          <w:szCs w:val="24"/>
        </w:rPr>
        <w:t xml:space="preserve">= 0.758544* 767 = 581.803mg/l                                                                                             </w:t>
      </w:r>
    </w:p>
    <w:p>
      <w:pPr>
        <w:spacing w:after="0" w:line="360" w:lineRule="auto"/>
        <w:ind w:firstLine="567"/>
        <w:rPr>
          <w:rFonts w:ascii="Times New Roman" w:hAnsi="Times New Roman" w:eastAsia="Times New Roman" w:cs="Times New Roman"/>
          <w:sz w:val="24"/>
          <w:szCs w:val="24"/>
        </w:rPr>
      </w:pPr>
      <w:r>
        <w:rPr>
          <w:rFonts w:ascii="Times New Roman" w:hAnsi="Times New Roman" w:eastAsia="Times New Roman" w:cs="Times New Roman"/>
          <w:sz w:val="24"/>
          <w:szCs w:val="24"/>
        </w:rPr>
        <w:t> </w:t>
      </w:r>
      <w:r>
        <w:rPr>
          <w:rFonts w:ascii="Times New Roman" w:hAnsi="Times New Roman" w:eastAsia="Times New Roman" w:cs="Times New Roman"/>
          <w:b/>
          <w:bCs/>
          <w:sz w:val="24"/>
          <w:szCs w:val="24"/>
        </w:rPr>
        <w:t xml:space="preserve">M = </w:t>
      </w:r>
      <w:r>
        <w:rPr>
          <w:rFonts w:ascii="Times New Roman" w:hAnsi="Times New Roman" w:eastAsia="Times New Roman" w:cs="Times New Roman"/>
          <w:sz w:val="24"/>
          <w:szCs w:val="24"/>
        </w:rPr>
        <w:t>581.803mg/l</w:t>
      </w:r>
    </w:p>
    <w:p>
      <w:pPr>
        <w:spacing w:after="0" w:line="360" w:lineRule="auto"/>
        <w:ind w:firstLine="567"/>
        <w:rPr>
          <w:rFonts w:ascii="Times New Roman" w:hAnsi="Times New Roman" w:eastAsia="Times New Roman" w:cs="Times New Roman"/>
          <w:sz w:val="24"/>
          <w:szCs w:val="24"/>
        </w:rPr>
      </w:pPr>
      <w:r>
        <w:rPr>
          <w:rFonts w:ascii="Times New Roman" w:hAnsi="Times New Roman" w:eastAsia="Times New Roman" w:cs="Times New Roman"/>
          <w:sz w:val="24"/>
          <w:szCs w:val="24"/>
        </w:rPr>
        <w:t> </w:t>
      </w:r>
      <w:r>
        <w:rPr>
          <w:rFonts w:ascii="Times New Roman" w:hAnsi="Times New Roman" w:eastAsia="Times New Roman" w:cs="Times New Roman"/>
          <w:b/>
          <w:bCs/>
          <w:sz w:val="24"/>
          <w:szCs w:val="24"/>
        </w:rPr>
        <w:t xml:space="preserve">M = </w:t>
      </w:r>
      <w:r>
        <w:rPr>
          <w:rFonts w:eastAsia="TimesNewRomanOOEnc" w:asciiTheme="majorBidi" w:hAnsiTheme="majorBidi" w:cstheme="majorBidi"/>
          <w:sz w:val="24"/>
          <w:szCs w:val="24"/>
        </w:rPr>
        <w:t>(Ʃ cations + Ʃ anions</w:t>
      </w:r>
      <w:r>
        <w:rPr>
          <w:rFonts w:ascii="TimesNewRomanOOEnc" w:eastAsia="TimesNewRomanOOEnc" w:cs="TimesNewRomanOOEnc"/>
          <w:sz w:val="24"/>
          <w:szCs w:val="24"/>
        </w:rPr>
        <w:t>)</w:t>
      </w:r>
    </w:p>
    <w:p>
      <w:pPr>
        <w:spacing w:after="0" w:line="36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D’après cette équation en calcul (Na</w:t>
      </w:r>
      <w:r>
        <w:rPr>
          <w:rFonts w:ascii="Times New Roman" w:hAnsi="Times New Roman" w:eastAsia="Times New Roman" w:cs="Times New Roman"/>
          <w:sz w:val="24"/>
          <w:szCs w:val="24"/>
          <w:vertAlign w:val="superscript"/>
        </w:rPr>
        <w:t>+</w:t>
      </w:r>
      <w:r>
        <w:rPr>
          <w:rFonts w:ascii="Times New Roman" w:hAnsi="Times New Roman" w:eastAsia="Times New Roman" w:cs="Times New Roman"/>
          <w:sz w:val="24"/>
          <w:szCs w:val="24"/>
        </w:rPr>
        <w:t>+K</w:t>
      </w:r>
      <w:r>
        <w:rPr>
          <w:rFonts w:ascii="Times New Roman" w:hAnsi="Times New Roman" w:eastAsia="Times New Roman" w:cs="Times New Roman"/>
          <w:sz w:val="24"/>
          <w:szCs w:val="24"/>
          <w:vertAlign w:val="superscript"/>
        </w:rPr>
        <w:t>+</w:t>
      </w:r>
      <w:r>
        <w:rPr>
          <w:rFonts w:ascii="Times New Roman" w:hAnsi="Times New Roman" w:eastAsia="Times New Roman" w:cs="Times New Roman"/>
          <w:sz w:val="24"/>
          <w:szCs w:val="24"/>
        </w:rPr>
        <w:t>) :</w:t>
      </w:r>
    </w:p>
    <w:p>
      <w:pPr>
        <w:spacing w:after="0" w:line="360" w:lineRule="auto"/>
        <w:rPr>
          <w:rFonts w:ascii="TimesNewRomanOOEnc" w:eastAsia="TimesNewRomanOOEnc" w:cs="TimesNewRomanOOEnc"/>
          <w:sz w:val="24"/>
          <w:szCs w:val="24"/>
        </w:rPr>
      </w:pPr>
      <w:r>
        <w:rPr>
          <w:rFonts w:hint="eastAsia" w:ascii="TimesNewRomanOOEnc" w:eastAsia="TimesNewRomanOOEnc" w:cs="TimesNewRomanOOEnc"/>
          <w:sz w:val="24"/>
          <w:szCs w:val="24"/>
        </w:rPr>
        <w:t>Ʃ</w:t>
      </w:r>
      <w:r>
        <w:rPr>
          <w:rFonts w:ascii="TimesNewRomanOOEnc" w:eastAsia="TimesNewRomanOOEnc" w:cs="TimesNewRomanOOEnc"/>
          <w:sz w:val="24"/>
          <w:szCs w:val="24"/>
        </w:rPr>
        <w:t xml:space="preserve"> cations =</w:t>
      </w:r>
      <w:r>
        <w:rPr>
          <w:rFonts w:ascii="Times New Roman" w:hAnsi="Times New Roman" w:eastAsia="Times New Roman" w:cs="Times New Roman"/>
          <w:b/>
          <w:bCs/>
          <w:sz w:val="24"/>
          <w:szCs w:val="24"/>
        </w:rPr>
        <w:t xml:space="preserve"> </w:t>
      </w:r>
      <w:r>
        <w:rPr>
          <w:rFonts w:ascii="Times New Roman" w:hAnsi="Times New Roman" w:eastAsia="Times New Roman" w:cs="Times New Roman"/>
          <w:sz w:val="24"/>
          <w:szCs w:val="24"/>
        </w:rPr>
        <w:t> </w:t>
      </w:r>
      <w:r>
        <w:rPr>
          <w:rFonts w:ascii="Times New Roman" w:hAnsi="Times New Roman" w:eastAsia="Times New Roman" w:cs="Times New Roman"/>
          <w:b/>
          <w:bCs/>
          <w:sz w:val="24"/>
          <w:szCs w:val="24"/>
        </w:rPr>
        <w:t>M-</w:t>
      </w:r>
      <w:r>
        <w:rPr>
          <w:rFonts w:hint="eastAsia" w:ascii="TimesNewRomanOOEnc" w:eastAsia="TimesNewRomanOOEnc" w:cs="TimesNewRomanOOEnc"/>
          <w:sz w:val="24"/>
          <w:szCs w:val="24"/>
        </w:rPr>
        <w:t xml:space="preserve"> Ʃ</w:t>
      </w:r>
      <w:r>
        <w:rPr>
          <w:rFonts w:ascii="TimesNewRomanOOEnc" w:eastAsia="TimesNewRomanOOEnc" w:cs="TimesNewRomanOOEnc"/>
          <w:sz w:val="24"/>
          <w:szCs w:val="24"/>
        </w:rPr>
        <w:t xml:space="preserve"> anions</w:t>
      </w:r>
    </w:p>
    <w:p>
      <w:pPr>
        <w:spacing w:after="0" w:line="360" w:lineRule="auto"/>
        <w:rPr>
          <w:rFonts w:eastAsia="TimesNewRomanOOEnc" w:asciiTheme="majorBidi" w:hAnsiTheme="majorBidi" w:cstheme="majorBidi"/>
          <w:sz w:val="24"/>
          <w:szCs w:val="24"/>
        </w:rPr>
      </w:pPr>
      <w:r>
        <w:rPr>
          <w:rFonts w:ascii="Times New Roman" w:hAnsi="Times New Roman" w:eastAsia="Times New Roman" w:cs="Times New Roman"/>
          <w:sz w:val="24"/>
          <w:szCs w:val="24"/>
        </w:rPr>
        <w:t>Na</w:t>
      </w:r>
      <w:r>
        <w:rPr>
          <w:rFonts w:ascii="Times New Roman" w:hAnsi="Times New Roman" w:eastAsia="Times New Roman" w:cs="Times New Roman"/>
          <w:sz w:val="24"/>
          <w:szCs w:val="24"/>
          <w:vertAlign w:val="superscript"/>
        </w:rPr>
        <w:t>+</w:t>
      </w:r>
      <w:r>
        <w:rPr>
          <w:rFonts w:ascii="Times New Roman" w:hAnsi="Times New Roman" w:eastAsia="Times New Roman" w:cs="Times New Roman"/>
          <w:sz w:val="24"/>
          <w:szCs w:val="24"/>
        </w:rPr>
        <w:t>+K</w:t>
      </w:r>
      <w:r>
        <w:rPr>
          <w:rFonts w:ascii="Times New Roman" w:hAnsi="Times New Roman" w:eastAsia="Times New Roman" w:cs="Times New Roman"/>
          <w:sz w:val="24"/>
          <w:szCs w:val="24"/>
          <w:vertAlign w:val="superscript"/>
        </w:rPr>
        <w:t xml:space="preserve">+  </w:t>
      </w:r>
      <w:r>
        <w:rPr>
          <w:rFonts w:ascii="Times New Roman" w:hAnsi="Times New Roman" w:eastAsia="Times New Roman" w:cs="Times New Roman"/>
          <w:sz w:val="24"/>
          <w:szCs w:val="24"/>
        </w:rPr>
        <w:t>=</w:t>
      </w:r>
      <w:r>
        <w:rPr>
          <w:rFonts w:hint="eastAsia" w:ascii="TimesNewRomanOOEnc" w:eastAsia="TimesNewRomanOOEnc" w:cs="TimesNewRomanOOEnc"/>
          <w:sz w:val="24"/>
          <w:szCs w:val="24"/>
        </w:rPr>
        <w:t xml:space="preserve"> </w:t>
      </w:r>
      <w:r>
        <w:rPr>
          <w:rFonts w:eastAsia="TimesNewRomanOOEnc" w:asciiTheme="majorBidi" w:hAnsiTheme="majorBidi" w:cstheme="majorBidi"/>
          <w:sz w:val="24"/>
          <w:szCs w:val="24"/>
        </w:rPr>
        <w:t>Ʃ cations</w:t>
      </w:r>
      <w:r>
        <w:rPr>
          <w:rFonts w:ascii="TimesNewRomanOOEnc" w:eastAsia="TimesNewRomanOOEnc" w:cs="TimesNewRomanOOEnc"/>
          <w:sz w:val="24"/>
          <w:szCs w:val="24"/>
        </w:rPr>
        <w:t xml:space="preserve"> – </w:t>
      </w:r>
      <w:r>
        <w:rPr>
          <w:rFonts w:eastAsia="TimesNewRomanOOEnc" w:asciiTheme="majorBidi" w:hAnsiTheme="majorBidi" w:cstheme="majorBidi"/>
          <w:sz w:val="24"/>
          <w:szCs w:val="24"/>
        </w:rPr>
        <w:t>(Ca</w:t>
      </w:r>
      <w:r>
        <w:rPr>
          <w:rFonts w:eastAsia="TimesNewRomanOOEnc" w:asciiTheme="majorBidi" w:hAnsiTheme="majorBidi" w:cstheme="majorBidi"/>
          <w:sz w:val="24"/>
          <w:szCs w:val="24"/>
          <w:vertAlign w:val="superscript"/>
        </w:rPr>
        <w:t>+</w:t>
      </w:r>
      <w:r>
        <w:rPr>
          <w:rFonts w:eastAsia="TimesNewRomanOOEnc" w:asciiTheme="majorBidi" w:hAnsiTheme="majorBidi" w:cstheme="majorBidi"/>
          <w:sz w:val="24"/>
          <w:szCs w:val="24"/>
        </w:rPr>
        <w:t>+Mg</w:t>
      </w:r>
      <w:r>
        <w:rPr>
          <w:rFonts w:eastAsia="TimesNewRomanOOEnc" w:asciiTheme="majorBidi" w:hAnsiTheme="majorBidi" w:cstheme="majorBidi"/>
          <w:sz w:val="24"/>
          <w:szCs w:val="24"/>
          <w:vertAlign w:val="superscript"/>
        </w:rPr>
        <w:t>+</w:t>
      </w:r>
      <w:r>
        <w:rPr>
          <w:rFonts w:eastAsia="TimesNewRomanOOEnc" w:asciiTheme="majorBidi" w:hAnsiTheme="majorBidi" w:cstheme="majorBidi"/>
          <w:sz w:val="24"/>
          <w:szCs w:val="24"/>
        </w:rPr>
        <w:t>) mg/l</w:t>
      </w:r>
    </w:p>
    <w:p>
      <w:pPr>
        <w:pStyle w:val="10"/>
        <w:numPr>
          <w:ilvl w:val="0"/>
          <w:numId w:val="35"/>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Calcium :</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Il provient essentiellement de la dissolution de la calcite (CaCO</w:t>
      </w:r>
      <w:r>
        <w:rPr>
          <w:rFonts w:eastAsia="TimesNewRomanOOEnc" w:asciiTheme="majorBidi" w:hAnsiTheme="majorBidi" w:cstheme="majorBidi"/>
          <w:sz w:val="24"/>
          <w:szCs w:val="24"/>
          <w:vertAlign w:val="subscript"/>
        </w:rPr>
        <w:t>3</w:t>
      </w:r>
      <w:r>
        <w:rPr>
          <w:rFonts w:eastAsia="TimesNewRomanOOEnc" w:asciiTheme="majorBidi" w:hAnsiTheme="majorBidi" w:cstheme="majorBidi"/>
          <w:sz w:val="24"/>
          <w:szCs w:val="24"/>
        </w:rPr>
        <w:t>) qui caractérise les calcaires et toutes les roches métamorphiques qui en dérivent.les teneurs de l’ion Ca</w:t>
      </w:r>
      <w:r>
        <w:rPr>
          <w:rFonts w:eastAsia="TimesNewRomanOOEnc" w:asciiTheme="majorBidi" w:hAnsiTheme="majorBidi" w:cstheme="majorBidi"/>
          <w:sz w:val="24"/>
          <w:szCs w:val="24"/>
          <w:vertAlign w:val="superscript"/>
        </w:rPr>
        <w:t>2</w:t>
      </w:r>
      <w:r>
        <w:rPr>
          <w:rFonts w:eastAsia="TimesNewRomanOOEnc" w:asciiTheme="majorBidi" w:hAnsiTheme="majorBidi" w:cstheme="majorBidi"/>
          <w:sz w:val="24"/>
          <w:szCs w:val="24"/>
        </w:rPr>
        <w:t xml:space="preserve"> sont comprises entre 280 mg/l et 40mg/l, il ya un dépassement des normes de l’OMS. (tableau n°20)</w:t>
      </w:r>
    </w:p>
    <w:p>
      <w:pPr>
        <w:pStyle w:val="10"/>
        <w:numPr>
          <w:ilvl w:val="0"/>
          <w:numId w:val="35"/>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Magnésium :</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Dans notre secteur, le teneur de cet élément est compris entre 25mg/l à 12 mg/l, ne dépassant pas Les normes de l’OMS (tableau n °20)</w:t>
      </w:r>
    </w:p>
    <w:p>
      <w:pPr>
        <w:pStyle w:val="10"/>
        <w:numPr>
          <w:ilvl w:val="0"/>
          <w:numId w:val="35"/>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Sodium et Potassium :</w:t>
      </w:r>
    </w:p>
    <w:p>
      <w:pPr>
        <w:spacing w:after="0" w:line="360" w:lineRule="auto"/>
        <w:ind w:firstLine="284"/>
        <w:rPr>
          <w:rFonts w:eastAsia="TimesNewRomanOOEnc" w:asciiTheme="majorBidi" w:hAnsiTheme="majorBidi" w:cstheme="majorBidi"/>
          <w:sz w:val="24"/>
          <w:szCs w:val="24"/>
        </w:rPr>
      </w:pPr>
      <w:r>
        <w:rPr>
          <w:rFonts w:eastAsia="TimesNewRomanOOEnc" w:asciiTheme="majorBidi" w:hAnsiTheme="majorBidi" w:cstheme="majorBidi"/>
          <w:sz w:val="24"/>
          <w:szCs w:val="24"/>
        </w:rPr>
        <w:t xml:space="preserve">Ces valeurs n’ont pas été fournies par la station de traitement mais nous avons déduit à partir du calcul fait sur la conductivité. </w:t>
      </w:r>
    </w:p>
    <w:p>
      <w:pPr>
        <w:spacing w:after="0" w:line="360" w:lineRule="auto"/>
        <w:ind w:firstLine="284"/>
        <w:rPr>
          <w:rFonts w:eastAsia="TimesNewRomanOOEnc" w:asciiTheme="majorBidi" w:hAnsiTheme="majorBidi" w:cstheme="majorBidi"/>
          <w:sz w:val="24"/>
          <w:szCs w:val="24"/>
        </w:rPr>
      </w:pPr>
      <w:r>
        <w:rPr>
          <w:rFonts w:eastAsia="TimesNewRomanOOEnc" w:asciiTheme="majorBidi" w:hAnsiTheme="majorBidi" w:cstheme="majorBidi"/>
          <w:sz w:val="24"/>
          <w:szCs w:val="24"/>
        </w:rPr>
        <w:t xml:space="preserve">Les valeurs approximativement déduit (Na+K) donne des valeurs entre  </w:t>
      </w:r>
      <w:r>
        <w:rPr>
          <w:rFonts w:ascii="Calibri" w:hAnsi="Calibri" w:eastAsia="Times New Roman" w:cs="Calibri"/>
          <w:color w:val="000000"/>
        </w:rPr>
        <w:t>307.933 à 35.89 mg/l</w:t>
      </w:r>
    </w:p>
    <w:p>
      <w:pPr>
        <w:pStyle w:val="10"/>
        <w:numPr>
          <w:ilvl w:val="0"/>
          <w:numId w:val="35"/>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Chlorure :</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 xml:space="preserve">Les teneurs en chlorures des eaux brutes sont relativement élevés entre 412 à 620mg/l. (tableau n °20).  </w:t>
      </w:r>
    </w:p>
    <w:p>
      <w:pPr>
        <w:pStyle w:val="10"/>
        <w:numPr>
          <w:ilvl w:val="0"/>
          <w:numId w:val="36"/>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Sulfate :</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La teneure en ion sulfates des eaux naturelles est très variable. Dans les terrains contenant du gypse ou lorsque le temps de contact avec la roche est élevé, elle atteint jusqu’à 1000 mg/l</w:t>
      </w:r>
      <w:r>
        <w:rPr>
          <w:rFonts w:eastAsia="TimesNewRomanOOEnc" w:asciiTheme="majorBidi" w:hAnsiTheme="majorBidi" w:cstheme="majorBidi"/>
          <w:b/>
          <w:bCs/>
          <w:sz w:val="24"/>
          <w:szCs w:val="24"/>
        </w:rPr>
        <w:t>.</w:t>
      </w:r>
      <w:r>
        <w:rPr>
          <w:rFonts w:eastAsia="TimesNewRomanOOEnc" w:asciiTheme="majorBidi" w:hAnsiTheme="majorBidi" w:cstheme="majorBidi"/>
          <w:sz w:val="24"/>
          <w:szCs w:val="24"/>
        </w:rPr>
        <w:t xml:space="preserve"> Dans notre cas on a trouvé les valeurs de SO </w:t>
      </w:r>
      <w:r>
        <w:rPr>
          <w:rFonts w:eastAsia="TimesNewRomanOOEnc" w:asciiTheme="majorBidi" w:hAnsiTheme="majorBidi" w:cstheme="majorBidi"/>
          <w:sz w:val="24"/>
          <w:szCs w:val="24"/>
          <w:vertAlign w:val="superscript"/>
        </w:rPr>
        <w:t>-</w:t>
      </w:r>
      <w:r>
        <w:rPr>
          <w:rFonts w:eastAsia="TimesNewRomanOOEnc" w:asciiTheme="majorBidi" w:hAnsiTheme="majorBidi" w:cstheme="majorBidi"/>
          <w:sz w:val="24"/>
          <w:szCs w:val="24"/>
          <w:vertAlign w:val="subscript"/>
        </w:rPr>
        <w:t>4</w:t>
      </w:r>
      <w:r>
        <w:rPr>
          <w:rFonts w:eastAsia="TimesNewRomanOOEnc" w:asciiTheme="majorBidi" w:hAnsiTheme="majorBidi" w:cstheme="majorBidi"/>
          <w:sz w:val="24"/>
          <w:szCs w:val="24"/>
        </w:rPr>
        <w:t xml:space="preserve"> confiné entre 30mg/l et 26 mg/l.et d’après les normes Algériennes les eaux brutes sont très élevé en sulfate (tableau n °20).</w:t>
      </w:r>
    </w:p>
    <w:p>
      <w:pPr>
        <w:pStyle w:val="10"/>
        <w:numPr>
          <w:ilvl w:val="0"/>
          <w:numId w:val="36"/>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Bicarbonates :</w:t>
      </w:r>
    </w:p>
    <w:p>
      <w:p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sz w:val="24"/>
          <w:szCs w:val="24"/>
        </w:rPr>
        <w:t xml:space="preserve"> À partir de la dissolution des minéraux carbonatés par des eaux météoriques qui se chargent en CO</w:t>
      </w:r>
      <w:r>
        <w:rPr>
          <w:rFonts w:eastAsia="TimesNewRomanOOEnc" w:asciiTheme="majorBidi" w:hAnsiTheme="majorBidi" w:cstheme="majorBidi"/>
          <w:sz w:val="24"/>
          <w:szCs w:val="24"/>
          <w:vertAlign w:val="subscript"/>
        </w:rPr>
        <w:t>2</w:t>
      </w:r>
      <w:r>
        <w:rPr>
          <w:rFonts w:eastAsia="TimesNewRomanOOEnc" w:asciiTheme="majorBidi" w:hAnsiTheme="majorBidi" w:cstheme="majorBidi"/>
          <w:sz w:val="24"/>
          <w:szCs w:val="24"/>
        </w:rPr>
        <w:t>.</w:t>
      </w:r>
    </w:p>
    <w:p>
      <w:pPr>
        <w:spacing w:after="0" w:line="360" w:lineRule="auto"/>
        <w:rPr>
          <w:rFonts w:eastAsia="TimesNewRomanOOEnc" w:asciiTheme="majorBidi" w:hAnsiTheme="majorBidi" w:cstheme="majorBidi"/>
          <w:sz w:val="24"/>
          <w:szCs w:val="24"/>
          <w:lang w:val="en-US"/>
        </w:rPr>
      </w:pPr>
      <w:r>
        <w:rPr>
          <w:rFonts w:eastAsia="TimesNewRomanOOEnc" w:asciiTheme="majorBidi" w:hAnsiTheme="majorBidi" w:cstheme="majorBidi"/>
          <w:sz w:val="24"/>
          <w:szCs w:val="24"/>
        </w:rPr>
        <w:pict>
          <v:shape id="_x0000_s2062" o:spid="_x0000_s2062" o:spt="13" type="#_x0000_t13" style="position:absolute;left:0pt;margin-left:96.35pt;margin-top:4.3pt;height:7.15pt;width:66.75pt;z-index:251673600;mso-width-relative:page;mso-height-relative:page;" fillcolor="#666666" filled="t" stroked="t" coordsize="21600,21600">
            <v:path/>
            <v:fill type="gradient" on="t" color2="#000000" focus="50%" focussize="0f,0f"/>
            <v:stroke weight="1pt" color="#000000" joinstyle="miter"/>
            <v:imagedata o:title=""/>
            <o:lock v:ext="edit"/>
            <v:shadow on="t" type="perspective" color="#7F7F7F" offset="1pt,2pt" offset2="-3pt,-2pt"/>
            <v:textbox>
              <w:txbxContent>
                <w:p/>
              </w:txbxContent>
            </v:textbox>
          </v:shape>
        </w:pict>
      </w:r>
      <w:r>
        <w:rPr>
          <w:rFonts w:eastAsia="TimesNewRomanOOEnc" w:asciiTheme="majorBidi" w:hAnsiTheme="majorBidi" w:cstheme="majorBidi"/>
          <w:sz w:val="24"/>
          <w:szCs w:val="24"/>
          <w:lang w:val="en-US"/>
        </w:rPr>
        <w:t>CaCO</w:t>
      </w:r>
      <w:r>
        <w:rPr>
          <w:rFonts w:eastAsia="TimesNewRomanOOEnc" w:asciiTheme="majorBidi" w:hAnsiTheme="majorBidi" w:cstheme="majorBidi"/>
          <w:sz w:val="24"/>
          <w:szCs w:val="24"/>
          <w:vertAlign w:val="subscript"/>
          <w:lang w:val="en-US"/>
        </w:rPr>
        <w:t>3</w:t>
      </w:r>
      <w:r>
        <w:rPr>
          <w:rFonts w:eastAsia="TimesNewRomanOOEnc" w:asciiTheme="majorBidi" w:hAnsiTheme="majorBidi" w:cstheme="majorBidi"/>
          <w:sz w:val="24"/>
          <w:szCs w:val="24"/>
          <w:lang w:val="en-US"/>
        </w:rPr>
        <w:t>+H</w:t>
      </w:r>
      <w:r>
        <w:rPr>
          <w:rFonts w:eastAsia="TimesNewRomanOOEnc" w:asciiTheme="majorBidi" w:hAnsiTheme="majorBidi" w:cstheme="majorBidi"/>
          <w:sz w:val="24"/>
          <w:szCs w:val="24"/>
          <w:vertAlign w:val="subscript"/>
          <w:lang w:val="en-US"/>
        </w:rPr>
        <w:t>2</w:t>
      </w:r>
      <w:r>
        <w:rPr>
          <w:rFonts w:eastAsia="TimesNewRomanOOEnc" w:asciiTheme="majorBidi" w:hAnsiTheme="majorBidi" w:cstheme="majorBidi"/>
          <w:sz w:val="24"/>
          <w:szCs w:val="24"/>
          <w:lang w:val="en-US"/>
        </w:rPr>
        <w:t>O+CO</w:t>
      </w:r>
      <w:r>
        <w:rPr>
          <w:rFonts w:eastAsia="TimesNewRomanOOEnc" w:asciiTheme="majorBidi" w:hAnsiTheme="majorBidi" w:cstheme="majorBidi"/>
          <w:sz w:val="24"/>
          <w:szCs w:val="24"/>
          <w:vertAlign w:val="subscript"/>
          <w:lang w:val="en-US"/>
        </w:rPr>
        <w:t xml:space="preserve">2 </w:t>
      </w:r>
      <w:r>
        <w:rPr>
          <w:rFonts w:eastAsia="TimesNewRomanOOEnc" w:asciiTheme="majorBidi" w:hAnsiTheme="majorBidi" w:cstheme="majorBidi"/>
          <w:sz w:val="24"/>
          <w:szCs w:val="24"/>
          <w:lang w:val="en-US"/>
        </w:rPr>
        <w:t xml:space="preserve">                            2HCO</w:t>
      </w:r>
      <w:r>
        <w:rPr>
          <w:rFonts w:eastAsia="TimesNewRomanOOEnc" w:asciiTheme="majorBidi" w:hAnsiTheme="majorBidi" w:cstheme="majorBidi"/>
          <w:sz w:val="24"/>
          <w:szCs w:val="24"/>
          <w:vertAlign w:val="subscript"/>
          <w:lang w:val="en-US"/>
        </w:rPr>
        <w:t>3</w:t>
      </w:r>
      <w:r>
        <w:rPr>
          <w:rFonts w:eastAsia="TimesNewRomanOOEnc" w:asciiTheme="majorBidi" w:hAnsiTheme="majorBidi" w:cstheme="majorBidi"/>
          <w:sz w:val="24"/>
          <w:szCs w:val="24"/>
          <w:vertAlign w:val="superscript"/>
          <w:lang w:val="en-US"/>
        </w:rPr>
        <w:t>-</w:t>
      </w:r>
      <w:r>
        <w:rPr>
          <w:rFonts w:eastAsia="TimesNewRomanOOEnc" w:asciiTheme="majorBidi" w:hAnsiTheme="majorBidi" w:cstheme="majorBidi"/>
          <w:sz w:val="24"/>
          <w:szCs w:val="24"/>
          <w:lang w:val="en-US"/>
        </w:rPr>
        <w:t xml:space="preserve"> +C a </w:t>
      </w:r>
      <w:r>
        <w:rPr>
          <w:rFonts w:eastAsia="TimesNewRomanOOEnc" w:asciiTheme="majorBidi" w:hAnsiTheme="majorBidi" w:cstheme="majorBidi"/>
          <w:sz w:val="24"/>
          <w:szCs w:val="24"/>
          <w:vertAlign w:val="superscript"/>
          <w:lang w:val="en-US"/>
        </w:rPr>
        <w:t xml:space="preserve">2+ </w:t>
      </w:r>
      <w:r>
        <w:rPr>
          <w:rFonts w:eastAsia="TimesNewRomanOOEnc" w:asciiTheme="majorBidi" w:hAnsiTheme="majorBidi" w:cstheme="majorBidi"/>
          <w:sz w:val="24"/>
          <w:szCs w:val="24"/>
          <w:lang w:val="en-US"/>
        </w:rPr>
        <w:t>.</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Les concentrations des eaux analysées variant entre 116 mg/l à 19 mg/l.ces valeur sont inferieure à la norme de potabilité Algérienne fixée à 250 mg/l (tableau n °20).</w:t>
      </w:r>
    </w:p>
    <w:p>
      <w:pPr>
        <w:pStyle w:val="10"/>
        <w:numPr>
          <w:ilvl w:val="0"/>
          <w:numId w:val="36"/>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Nitrate :</w:t>
      </w:r>
    </w:p>
    <w:p>
      <w:pPr>
        <w:spacing w:after="0" w:line="360" w:lineRule="auto"/>
        <w:ind w:firstLine="567"/>
        <w:rPr>
          <w:rFonts w:eastAsia="TimesNewRomanOOEnc" w:asciiTheme="majorBidi" w:hAnsiTheme="majorBidi" w:cstheme="majorBidi"/>
          <w:sz w:val="24"/>
          <w:szCs w:val="24"/>
        </w:rPr>
      </w:pPr>
      <w:r>
        <w:rPr>
          <w:rFonts w:eastAsia="TimesNewRomanOOEnc" w:asciiTheme="majorBidi" w:hAnsiTheme="majorBidi" w:cstheme="majorBidi"/>
          <w:sz w:val="24"/>
          <w:szCs w:val="24"/>
        </w:rPr>
        <w:t>Les sources de nitrates dans l’eau comprennent les matières animales et végétales en décomposition, les engrais agricoles, le fumier, les eaux usées domestique et les formations géologiques contenant des composés azotés solubles. Les teneures en nitrates sont conformes aux normes de potabilité (50 mg/l), car elle varie dans notre cas entre 2.09 à 1.31mg/l (tableau n °20).</w:t>
      </w:r>
    </w:p>
    <w:p>
      <w:pPr>
        <w:pStyle w:val="10"/>
        <w:numPr>
          <w:ilvl w:val="0"/>
          <w:numId w:val="36"/>
        </w:numPr>
        <w:autoSpaceDE w:val="0"/>
        <w:autoSpaceDN w:val="0"/>
        <w:adjustRightInd w:val="0"/>
        <w:spacing w:after="0" w:line="360" w:lineRule="auto"/>
        <w:rPr>
          <w:rFonts w:ascii="Times New Roman" w:hAnsi="Times New Roman" w:cs="Times New Roman"/>
          <w:b/>
          <w:bCs/>
          <w:sz w:val="24"/>
          <w:szCs w:val="24"/>
        </w:rPr>
      </w:pPr>
      <w:r>
        <w:rPr>
          <w:rFonts w:ascii="Times New Roman" w:hAnsi="Times New Roman" w:cs="Times New Roman"/>
          <w:b/>
          <w:bCs/>
          <w:sz w:val="24"/>
          <w:szCs w:val="24"/>
        </w:rPr>
        <w:t>Classification des eaux selon Schoeller-Berkaloff :</w:t>
      </w:r>
    </w:p>
    <w:p>
      <w:pPr>
        <w:autoSpaceDE w:val="0"/>
        <w:autoSpaceDN w:val="0"/>
        <w:adjustRightInd w:val="0"/>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Le diagramme de Schoeller-Berkaloff est une représentation graphique semi logarithmique.</w:t>
      </w:r>
    </w:p>
    <w:p>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Sur l'axe des abscisses sont représentés les différents ions et sur l'axe des ordonnées la teneur réelle en mg/l. Les points obtenus sont reliés par des droites. L'allure du graphique obtenu permet de visualiser le faciès de l'eau concernée.</w:t>
      </w:r>
    </w:p>
    <w:p>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Le diagramme permet une lecture directe des concentrations en mg/l des différents ions majeurs. En outre, les 2 axes des ordonnées, situés à droite et à gauche du graphique, permettent une conversion directe en milliéquivalent par litre.</w:t>
      </w:r>
    </w:p>
    <w:p>
      <w:pPr>
        <w:tabs>
          <w:tab w:val="left" w:pos="1935"/>
        </w:tabs>
        <w:spacing w:after="0" w:line="360" w:lineRule="auto"/>
        <w:jc w:val="center"/>
        <w:rPr>
          <w:rFonts w:asciiTheme="majorBidi" w:hAnsiTheme="majorBidi" w:cstheme="majorBidi"/>
          <w:b/>
          <w:bCs/>
          <w:sz w:val="24"/>
          <w:szCs w:val="24"/>
        </w:rPr>
      </w:pPr>
      <w:r>
        <w:rPr>
          <w:rFonts w:asciiTheme="majorBidi" w:hAnsiTheme="majorBidi" w:cstheme="majorBidi"/>
          <w:b/>
          <w:bCs/>
          <w:sz w:val="24"/>
          <w:szCs w:val="24"/>
        </w:rPr>
        <w:drawing>
          <wp:inline distT="0" distB="0" distL="0" distR="0">
            <wp:extent cx="5829300" cy="6362700"/>
            <wp:effectExtent l="53975" t="53975" r="111125" b="111125"/>
            <wp:docPr id="50" name="Image 1" descr="C:\Users\belaribi med\Desktop\image\ml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1" descr="C:\Users\belaribi med\Desktop\image\mlm.png"/>
                    <pic:cNvPicPr>
                      <a:picLocks noChangeAspect="1" noChangeArrowheads="1"/>
                    </pic:cNvPicPr>
                  </pic:nvPicPr>
                  <pic:blipFill>
                    <a:blip r:embed="rId54"/>
                    <a:srcRect r="10518" b="980"/>
                    <a:stretch>
                      <a:fillRect/>
                    </a:stretch>
                  </pic:blipFill>
                  <pic:spPr>
                    <a:xfrm>
                      <a:off x="0" y="0"/>
                      <a:ext cx="5829300" cy="63627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tabs>
          <w:tab w:val="left" w:pos="1935"/>
        </w:tabs>
        <w:spacing w:after="0" w:line="360" w:lineRule="auto"/>
        <w:jc w:val="center"/>
        <w:rPr>
          <w:rFonts w:asciiTheme="majorBidi" w:hAnsiTheme="majorBidi" w:cstheme="majorBidi"/>
          <w:sz w:val="24"/>
          <w:szCs w:val="24"/>
        </w:rPr>
      </w:pPr>
      <w:r>
        <w:rPr>
          <w:rFonts w:asciiTheme="majorBidi" w:hAnsiTheme="majorBidi" w:cstheme="majorBidi"/>
          <w:sz w:val="24"/>
          <w:szCs w:val="24"/>
        </w:rPr>
        <w:t>Fig n°46 : Diagramme de Shoeller-Berkaloff  pour les eaux brutes</w:t>
      </w:r>
    </w:p>
    <w:p>
      <w:pPr>
        <w:pStyle w:val="10"/>
        <w:numPr>
          <w:ilvl w:val="0"/>
          <w:numId w:val="36"/>
        </w:numPr>
        <w:tabs>
          <w:tab w:val="left" w:pos="1935"/>
        </w:tabs>
        <w:spacing w:after="0" w:line="360" w:lineRule="auto"/>
        <w:rPr>
          <w:rFonts w:ascii="Times New Roman" w:hAnsi="Times New Roman" w:cs="Times New Roman"/>
          <w:b/>
          <w:bCs/>
          <w:sz w:val="24"/>
          <w:szCs w:val="24"/>
        </w:rPr>
      </w:pPr>
      <w:r>
        <w:rPr>
          <w:rFonts w:ascii="Times New Roman" w:hAnsi="Times New Roman" w:cs="Times New Roman"/>
          <w:b/>
          <w:bCs/>
          <w:sz w:val="24"/>
          <w:szCs w:val="24"/>
        </w:rPr>
        <w:t>Qualité des eaux :</w:t>
      </w:r>
    </w:p>
    <w:p>
      <w:pPr>
        <w:tabs>
          <w:tab w:val="left" w:pos="193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Dans ce travail, seule la potabilité du point de vue chimique été prise comme critère, en se référant aux normes algériennes (tableau n°24) </w:t>
      </w:r>
    </w:p>
    <w:p>
      <w:pPr>
        <w:tabs>
          <w:tab w:val="left" w:pos="1935"/>
        </w:tabs>
        <w:spacing w:after="0" w:line="360" w:lineRule="auto"/>
        <w:rPr>
          <w:rFonts w:ascii="Times New Roman" w:hAnsi="Times New Roman" w:cs="Times New Roman"/>
          <w:sz w:val="24"/>
          <w:szCs w:val="24"/>
        </w:rPr>
      </w:pPr>
    </w:p>
    <w:p>
      <w:pPr>
        <w:tabs>
          <w:tab w:val="left" w:pos="1935"/>
        </w:tabs>
        <w:spacing w:after="0" w:line="360" w:lineRule="auto"/>
        <w:rPr>
          <w:rFonts w:ascii="Times New Roman" w:hAnsi="Times New Roman" w:cs="Times New Roman"/>
          <w:sz w:val="24"/>
          <w:szCs w:val="24"/>
        </w:rPr>
      </w:pPr>
    </w:p>
    <w:p>
      <w:pPr>
        <w:tabs>
          <w:tab w:val="left" w:pos="1935"/>
        </w:tabs>
        <w:spacing w:after="0" w:line="360" w:lineRule="auto"/>
        <w:rPr>
          <w:rFonts w:ascii="Times New Roman" w:hAnsi="Times New Roman" w:cs="Times New Roman"/>
          <w:sz w:val="24"/>
          <w:szCs w:val="24"/>
        </w:rPr>
      </w:pPr>
    </w:p>
    <w:p>
      <w:pPr>
        <w:tabs>
          <w:tab w:val="left" w:pos="1935"/>
        </w:tabs>
        <w:spacing w:after="0" w:line="360" w:lineRule="auto"/>
        <w:rPr>
          <w:rFonts w:ascii="Times New Roman" w:hAnsi="Times New Roman" w:cs="Times New Roman"/>
          <w:sz w:val="24"/>
          <w:szCs w:val="24"/>
        </w:rPr>
      </w:pPr>
    </w:p>
    <w:p>
      <w:pPr>
        <w:tabs>
          <w:tab w:val="left" w:pos="1935"/>
        </w:tabs>
        <w:spacing w:after="0" w:line="360" w:lineRule="auto"/>
        <w:rPr>
          <w:rFonts w:ascii="Times New Roman" w:hAnsi="Times New Roman" w:cs="Times New Roman"/>
          <w:sz w:val="24"/>
          <w:szCs w:val="24"/>
        </w:rPr>
      </w:pPr>
    </w:p>
    <w:p>
      <w:pPr>
        <w:tabs>
          <w:tab w:val="left" w:pos="1935"/>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Tableau n°24 : potabilité chimique des eaux brute :</w:t>
      </w:r>
    </w:p>
    <w:tbl>
      <w:tblPr>
        <w:tblStyle w:val="8"/>
        <w:tblW w:w="10065" w:type="dxa"/>
        <w:tblInd w:w="-356" w:type="dxa"/>
        <w:tblLayout w:type="fixed"/>
        <w:tblCellMar>
          <w:top w:w="0" w:type="dxa"/>
          <w:left w:w="70" w:type="dxa"/>
          <w:bottom w:w="0" w:type="dxa"/>
          <w:right w:w="70" w:type="dxa"/>
        </w:tblCellMar>
      </w:tblPr>
      <w:tblGrid>
        <w:gridCol w:w="948"/>
        <w:gridCol w:w="949"/>
        <w:gridCol w:w="949"/>
        <w:gridCol w:w="949"/>
        <w:gridCol w:w="949"/>
        <w:gridCol w:w="949"/>
        <w:gridCol w:w="1167"/>
        <w:gridCol w:w="937"/>
        <w:gridCol w:w="993"/>
        <w:gridCol w:w="1275"/>
      </w:tblGrid>
      <w:tr>
        <w:tblPrEx>
          <w:tblCellMar>
            <w:top w:w="0" w:type="dxa"/>
            <w:left w:w="70" w:type="dxa"/>
            <w:bottom w:w="0" w:type="dxa"/>
            <w:right w:w="70" w:type="dxa"/>
          </w:tblCellMar>
        </w:tblPrEx>
        <w:trPr>
          <w:trHeight w:val="754" w:hRule="atLeast"/>
        </w:trPr>
        <w:tc>
          <w:tcPr>
            <w:tcW w:w="948" w:type="dxa"/>
            <w:tcBorders>
              <w:top w:val="single" w:color="auto" w:sz="4" w:space="0"/>
              <w:left w:val="single" w:color="auto" w:sz="4" w:space="0"/>
              <w:bottom w:val="single" w:color="auto" w:sz="4" w:space="0"/>
              <w:right w:val="single" w:color="auto" w:sz="4" w:space="0"/>
            </w:tcBorders>
            <w:shd w:val="clear" w:color="000000" w:fill="FFFFFF"/>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Mois</w:t>
            </w:r>
          </w:p>
          <w:p>
            <w:pPr>
              <w:spacing w:after="0" w:line="240" w:lineRule="auto"/>
              <w:jc w:val="center"/>
              <w:rPr>
                <w:rFonts w:ascii="Times New Roman" w:hAnsi="Times New Roman" w:eastAsia="Times New Roman" w:cs="Times New Roman"/>
                <w:color w:val="000000"/>
                <w:sz w:val="24"/>
                <w:szCs w:val="24"/>
              </w:rPr>
            </w:pPr>
          </w:p>
        </w:tc>
        <w:tc>
          <w:tcPr>
            <w:tcW w:w="949" w:type="dxa"/>
            <w:tcBorders>
              <w:top w:val="single" w:color="auto" w:sz="4" w:space="0"/>
              <w:left w:val="nil"/>
              <w:bottom w:val="single" w:color="auto" w:sz="4" w:space="0"/>
              <w:right w:val="single" w:color="auto" w:sz="4" w:space="0"/>
            </w:tcBorders>
            <w:shd w:val="clear" w:color="000000" w:fill="FFFFFF"/>
            <w:noWrap/>
            <w:vAlign w:val="center"/>
          </w:tcPr>
          <w:p>
            <w:pPr>
              <w:tabs>
                <w:tab w:val="left" w:pos="1935"/>
              </w:tabs>
              <w:spacing w:line="240" w:lineRule="auto"/>
              <w:jc w:val="center"/>
              <w:rPr>
                <w:rFonts w:asciiTheme="majorBidi" w:hAnsiTheme="majorBidi" w:cstheme="majorBidi"/>
                <w:b/>
                <w:bCs/>
                <w:sz w:val="18"/>
                <w:szCs w:val="18"/>
                <w:vertAlign w:val="superscript"/>
              </w:rPr>
            </w:pPr>
            <w:r>
              <w:rPr>
                <w:rFonts w:asciiTheme="majorBidi" w:hAnsiTheme="majorBidi" w:cstheme="majorBidi"/>
                <w:b/>
                <w:bCs/>
                <w:sz w:val="18"/>
                <w:szCs w:val="18"/>
              </w:rPr>
              <w:t>NO</w:t>
            </w:r>
            <w:r>
              <w:rPr>
                <w:rFonts w:asciiTheme="majorBidi" w:hAnsiTheme="majorBidi" w:cstheme="majorBidi"/>
                <w:b/>
                <w:bCs/>
                <w:sz w:val="18"/>
                <w:szCs w:val="18"/>
                <w:vertAlign w:val="subscript"/>
              </w:rPr>
              <w:t>3</w:t>
            </w:r>
            <w:r>
              <w:rPr>
                <w:rFonts w:asciiTheme="majorBidi" w:hAnsiTheme="majorBidi" w:cstheme="majorBidi"/>
                <w:b/>
                <w:bCs/>
                <w:sz w:val="18"/>
                <w:szCs w:val="18"/>
                <w:vertAlign w:val="superscript"/>
              </w:rPr>
              <w:t xml:space="preserve"> </w:t>
            </w:r>
            <w:r>
              <w:rPr>
                <w:rFonts w:asciiTheme="majorBidi" w:hAnsiTheme="majorBidi" w:cstheme="majorBidi"/>
                <w:b/>
                <w:bCs/>
                <w:sz w:val="18"/>
                <w:szCs w:val="18"/>
              </w:rPr>
              <w:t>(mg/l)</w:t>
            </w:r>
          </w:p>
        </w:tc>
        <w:tc>
          <w:tcPr>
            <w:tcW w:w="949" w:type="dxa"/>
            <w:tcBorders>
              <w:top w:val="single" w:color="auto" w:sz="4" w:space="0"/>
              <w:left w:val="nil"/>
              <w:bottom w:val="single" w:color="auto" w:sz="4" w:space="0"/>
              <w:right w:val="single" w:color="auto" w:sz="4" w:space="0"/>
            </w:tcBorders>
            <w:shd w:val="clear" w:color="000000" w:fill="FFFFFF"/>
            <w:noWrap/>
            <w:vAlign w:val="center"/>
          </w:tcPr>
          <w:p>
            <w:pPr>
              <w:tabs>
                <w:tab w:val="left" w:pos="1935"/>
              </w:tabs>
              <w:spacing w:line="240" w:lineRule="auto"/>
              <w:jc w:val="center"/>
              <w:rPr>
                <w:rFonts w:asciiTheme="majorBidi" w:hAnsiTheme="majorBidi" w:cstheme="majorBidi"/>
                <w:b/>
                <w:bCs/>
                <w:sz w:val="18"/>
                <w:szCs w:val="18"/>
                <w:vertAlign w:val="superscript"/>
              </w:rPr>
            </w:pPr>
            <w:r>
              <w:rPr>
                <w:rFonts w:asciiTheme="majorBidi" w:hAnsiTheme="majorBidi" w:cstheme="majorBidi"/>
                <w:b/>
                <w:bCs/>
                <w:sz w:val="18"/>
                <w:szCs w:val="18"/>
              </w:rPr>
              <w:t>SO</w:t>
            </w:r>
            <w:r>
              <w:rPr>
                <w:rFonts w:asciiTheme="majorBidi" w:hAnsiTheme="majorBidi" w:cstheme="majorBidi"/>
                <w:b/>
                <w:bCs/>
                <w:sz w:val="18"/>
                <w:szCs w:val="18"/>
                <w:vertAlign w:val="subscript"/>
              </w:rPr>
              <w:t>4</w:t>
            </w:r>
            <w:r>
              <w:rPr>
                <w:rFonts w:asciiTheme="majorBidi" w:hAnsiTheme="majorBidi" w:cstheme="majorBidi"/>
                <w:b/>
                <w:bCs/>
                <w:sz w:val="18"/>
                <w:szCs w:val="18"/>
                <w:vertAlign w:val="superscript"/>
              </w:rPr>
              <w:t xml:space="preserve">2 </w:t>
            </w:r>
            <w:r>
              <w:rPr>
                <w:rFonts w:asciiTheme="majorBidi" w:hAnsiTheme="majorBidi" w:cstheme="majorBidi"/>
                <w:b/>
                <w:bCs/>
                <w:sz w:val="18"/>
                <w:szCs w:val="18"/>
              </w:rPr>
              <w:t>(mg/l)</w:t>
            </w:r>
          </w:p>
        </w:tc>
        <w:tc>
          <w:tcPr>
            <w:tcW w:w="949" w:type="dxa"/>
            <w:tcBorders>
              <w:top w:val="single" w:color="auto" w:sz="4" w:space="0"/>
              <w:left w:val="nil"/>
              <w:bottom w:val="single" w:color="auto" w:sz="4" w:space="0"/>
              <w:right w:val="single" w:color="auto" w:sz="4" w:space="0"/>
            </w:tcBorders>
            <w:shd w:val="clear" w:color="000000" w:fill="FFFFFF"/>
            <w:noWrap/>
            <w:vAlign w:val="center"/>
          </w:tcPr>
          <w:p>
            <w:pPr>
              <w:tabs>
                <w:tab w:val="left" w:pos="1935"/>
              </w:tabs>
              <w:spacing w:line="240" w:lineRule="auto"/>
              <w:jc w:val="center"/>
              <w:rPr>
                <w:rFonts w:asciiTheme="majorBidi" w:hAnsiTheme="majorBidi" w:cstheme="majorBidi"/>
                <w:b/>
                <w:bCs/>
                <w:sz w:val="18"/>
                <w:szCs w:val="18"/>
                <w:vertAlign w:val="superscript"/>
              </w:rPr>
            </w:pPr>
            <w:r>
              <w:rPr>
                <w:rFonts w:asciiTheme="majorBidi" w:hAnsiTheme="majorBidi" w:cstheme="majorBidi"/>
                <w:b/>
                <w:bCs/>
                <w:sz w:val="18"/>
                <w:szCs w:val="18"/>
              </w:rPr>
              <w:t>Cl</w:t>
            </w:r>
            <w:r>
              <w:rPr>
                <w:rFonts w:asciiTheme="majorBidi" w:hAnsiTheme="majorBidi" w:cstheme="majorBidi"/>
                <w:b/>
                <w:bCs/>
                <w:sz w:val="18"/>
                <w:szCs w:val="18"/>
                <w:vertAlign w:val="superscript"/>
              </w:rPr>
              <w:t xml:space="preserve"> - </w:t>
            </w:r>
            <w:r>
              <w:rPr>
                <w:rFonts w:asciiTheme="majorBidi" w:hAnsiTheme="majorBidi" w:cstheme="majorBidi"/>
                <w:b/>
                <w:bCs/>
                <w:sz w:val="18"/>
                <w:szCs w:val="18"/>
              </w:rPr>
              <w:t>(mg/l)</w:t>
            </w:r>
          </w:p>
        </w:tc>
        <w:tc>
          <w:tcPr>
            <w:tcW w:w="949" w:type="dxa"/>
            <w:tcBorders>
              <w:top w:val="single" w:color="auto" w:sz="4" w:space="0"/>
              <w:left w:val="nil"/>
              <w:bottom w:val="single" w:color="auto" w:sz="4" w:space="0"/>
              <w:right w:val="single" w:color="auto" w:sz="4" w:space="0"/>
            </w:tcBorders>
            <w:shd w:val="clear" w:color="000000" w:fill="FFFFFF"/>
            <w:noWrap/>
            <w:vAlign w:val="center"/>
          </w:tcPr>
          <w:p>
            <w:pPr>
              <w:tabs>
                <w:tab w:val="left" w:pos="1935"/>
              </w:tabs>
              <w:spacing w:line="240" w:lineRule="auto"/>
              <w:jc w:val="center"/>
              <w:rPr>
                <w:rFonts w:asciiTheme="majorBidi" w:hAnsiTheme="majorBidi" w:cstheme="majorBidi"/>
                <w:b/>
                <w:bCs/>
                <w:sz w:val="18"/>
                <w:szCs w:val="18"/>
                <w:vertAlign w:val="superscript"/>
              </w:rPr>
            </w:pPr>
            <w:r>
              <w:rPr>
                <w:rFonts w:asciiTheme="majorBidi" w:hAnsiTheme="majorBidi" w:cstheme="majorBidi"/>
                <w:b/>
                <w:bCs/>
                <w:sz w:val="18"/>
                <w:szCs w:val="18"/>
              </w:rPr>
              <w:t>Ca</w:t>
            </w:r>
            <w:r>
              <w:rPr>
                <w:rFonts w:asciiTheme="majorBidi" w:hAnsiTheme="majorBidi" w:cstheme="majorBidi"/>
                <w:b/>
                <w:bCs/>
                <w:sz w:val="18"/>
                <w:szCs w:val="18"/>
                <w:vertAlign w:val="superscript"/>
              </w:rPr>
              <w:t xml:space="preserve">2+ </w:t>
            </w:r>
            <w:r>
              <w:rPr>
                <w:rFonts w:asciiTheme="majorBidi" w:hAnsiTheme="majorBidi" w:cstheme="majorBidi"/>
                <w:b/>
                <w:bCs/>
                <w:sz w:val="18"/>
                <w:szCs w:val="18"/>
              </w:rPr>
              <w:t>(mg/l)</w:t>
            </w:r>
          </w:p>
        </w:tc>
        <w:tc>
          <w:tcPr>
            <w:tcW w:w="949" w:type="dxa"/>
            <w:tcBorders>
              <w:top w:val="single" w:color="auto" w:sz="4" w:space="0"/>
              <w:left w:val="nil"/>
              <w:bottom w:val="single" w:color="auto" w:sz="4" w:space="0"/>
              <w:right w:val="single" w:color="auto" w:sz="4" w:space="0"/>
            </w:tcBorders>
            <w:shd w:val="clear" w:color="000000" w:fill="FFFFFF"/>
            <w:noWrap/>
            <w:vAlign w:val="center"/>
          </w:tcPr>
          <w:p>
            <w:pPr>
              <w:tabs>
                <w:tab w:val="left" w:pos="1935"/>
              </w:tabs>
              <w:spacing w:line="240" w:lineRule="auto"/>
              <w:jc w:val="center"/>
              <w:rPr>
                <w:rFonts w:asciiTheme="majorBidi" w:hAnsiTheme="majorBidi" w:cstheme="majorBidi"/>
                <w:b/>
                <w:bCs/>
                <w:sz w:val="18"/>
                <w:szCs w:val="18"/>
                <w:vertAlign w:val="superscript"/>
              </w:rPr>
            </w:pPr>
            <w:r>
              <w:rPr>
                <w:rFonts w:asciiTheme="majorBidi" w:hAnsiTheme="majorBidi" w:cstheme="majorBidi"/>
                <w:b/>
                <w:bCs/>
                <w:sz w:val="18"/>
                <w:szCs w:val="18"/>
              </w:rPr>
              <w:t>Mg</w:t>
            </w:r>
            <w:r>
              <w:rPr>
                <w:rFonts w:asciiTheme="majorBidi" w:hAnsiTheme="majorBidi" w:cstheme="majorBidi"/>
                <w:b/>
                <w:bCs/>
                <w:sz w:val="18"/>
                <w:szCs w:val="18"/>
                <w:vertAlign w:val="superscript"/>
              </w:rPr>
              <w:t xml:space="preserve">2+ </w:t>
            </w:r>
            <w:r>
              <w:rPr>
                <w:rFonts w:asciiTheme="majorBidi" w:hAnsiTheme="majorBidi" w:cstheme="majorBidi"/>
                <w:b/>
                <w:bCs/>
                <w:sz w:val="18"/>
                <w:szCs w:val="18"/>
              </w:rPr>
              <w:t>(mg/l</w:t>
            </w:r>
          </w:p>
        </w:tc>
        <w:tc>
          <w:tcPr>
            <w:tcW w:w="1167" w:type="dxa"/>
            <w:tcBorders>
              <w:top w:val="single" w:color="auto" w:sz="4" w:space="0"/>
              <w:left w:val="nil"/>
              <w:bottom w:val="single" w:color="auto" w:sz="4" w:space="0"/>
              <w:right w:val="single" w:color="auto" w:sz="4" w:space="0"/>
            </w:tcBorders>
            <w:shd w:val="clear" w:color="000000" w:fill="FFFFFF"/>
            <w:noWrap/>
            <w:vAlign w:val="center"/>
          </w:tcPr>
          <w:p>
            <w:pPr>
              <w:tabs>
                <w:tab w:val="left" w:pos="1935"/>
              </w:tabs>
              <w:spacing w:line="240" w:lineRule="auto"/>
              <w:jc w:val="center"/>
              <w:rPr>
                <w:rFonts w:asciiTheme="majorBidi" w:hAnsiTheme="majorBidi" w:cstheme="majorBidi"/>
                <w:b/>
                <w:bCs/>
                <w:sz w:val="18"/>
                <w:szCs w:val="18"/>
                <w:vertAlign w:val="superscript"/>
              </w:rPr>
            </w:pPr>
            <w:r>
              <w:rPr>
                <w:rFonts w:asciiTheme="majorBidi" w:hAnsiTheme="majorBidi" w:cstheme="majorBidi"/>
                <w:b/>
                <w:bCs/>
                <w:sz w:val="18"/>
                <w:szCs w:val="18"/>
              </w:rPr>
              <w:t>Na</w:t>
            </w:r>
            <w:r>
              <w:rPr>
                <w:rFonts w:asciiTheme="majorBidi" w:hAnsiTheme="majorBidi" w:cstheme="majorBidi"/>
                <w:b/>
                <w:bCs/>
                <w:sz w:val="18"/>
                <w:szCs w:val="18"/>
                <w:vertAlign w:val="superscript"/>
              </w:rPr>
              <w:t>+</w:t>
            </w:r>
            <w:r>
              <w:rPr>
                <w:rFonts w:asciiTheme="majorBidi" w:hAnsiTheme="majorBidi" w:cstheme="majorBidi"/>
                <w:b/>
                <w:bCs/>
                <w:sz w:val="18"/>
                <w:szCs w:val="18"/>
              </w:rPr>
              <w:t>+K</w:t>
            </w:r>
            <w:r>
              <w:rPr>
                <w:rFonts w:asciiTheme="majorBidi" w:hAnsiTheme="majorBidi" w:cstheme="majorBidi"/>
                <w:b/>
                <w:bCs/>
                <w:sz w:val="18"/>
                <w:szCs w:val="18"/>
                <w:vertAlign w:val="superscript"/>
              </w:rPr>
              <w:t xml:space="preserve">+ </w:t>
            </w:r>
            <w:r>
              <w:rPr>
                <w:rFonts w:asciiTheme="majorBidi" w:hAnsiTheme="majorBidi" w:cstheme="majorBidi"/>
                <w:b/>
                <w:bCs/>
                <w:sz w:val="18"/>
                <w:szCs w:val="18"/>
              </w:rPr>
              <w:t>(mg/l)</w:t>
            </w:r>
          </w:p>
        </w:tc>
        <w:tc>
          <w:tcPr>
            <w:tcW w:w="937" w:type="dxa"/>
            <w:tcBorders>
              <w:top w:val="single" w:color="auto" w:sz="4" w:space="0"/>
              <w:left w:val="nil"/>
              <w:bottom w:val="single" w:color="auto" w:sz="4" w:space="0"/>
              <w:right w:val="single" w:color="auto" w:sz="4" w:space="0"/>
            </w:tcBorders>
            <w:shd w:val="clear" w:color="000000" w:fill="FFFFFF"/>
            <w:vAlign w:val="center"/>
          </w:tcPr>
          <w:p>
            <w:pPr>
              <w:tabs>
                <w:tab w:val="left" w:pos="1935"/>
              </w:tabs>
              <w:spacing w:line="240" w:lineRule="auto"/>
              <w:jc w:val="center"/>
              <w:rPr>
                <w:rFonts w:asciiTheme="majorBidi" w:hAnsiTheme="majorBidi" w:cstheme="majorBidi"/>
                <w:b/>
                <w:bCs/>
                <w:sz w:val="18"/>
                <w:szCs w:val="18"/>
              </w:rPr>
            </w:pPr>
            <w:r>
              <w:rPr>
                <w:rFonts w:asciiTheme="majorBidi" w:hAnsiTheme="majorBidi" w:cstheme="majorBidi"/>
                <w:b/>
                <w:bCs/>
                <w:sz w:val="18"/>
                <w:szCs w:val="18"/>
              </w:rPr>
              <w:t>R.S ( mg/l)</w:t>
            </w:r>
          </w:p>
        </w:tc>
        <w:tc>
          <w:tcPr>
            <w:tcW w:w="993" w:type="dxa"/>
            <w:tcBorders>
              <w:top w:val="single" w:color="auto" w:sz="4" w:space="0"/>
              <w:left w:val="nil"/>
              <w:bottom w:val="single" w:color="auto" w:sz="4" w:space="0"/>
              <w:right w:val="single" w:color="auto" w:sz="4" w:space="0"/>
            </w:tcBorders>
            <w:shd w:val="clear" w:color="000000" w:fill="FFFFFF"/>
            <w:vAlign w:val="center"/>
          </w:tcPr>
          <w:p>
            <w:pPr>
              <w:tabs>
                <w:tab w:val="left" w:pos="1935"/>
              </w:tabs>
              <w:spacing w:line="240" w:lineRule="auto"/>
              <w:jc w:val="center"/>
              <w:rPr>
                <w:rFonts w:asciiTheme="majorBidi" w:hAnsiTheme="majorBidi" w:cstheme="majorBidi"/>
                <w:b/>
                <w:bCs/>
                <w:sz w:val="18"/>
                <w:szCs w:val="18"/>
              </w:rPr>
            </w:pPr>
            <w:r>
              <w:rPr>
                <w:rFonts w:asciiTheme="majorBidi" w:hAnsiTheme="majorBidi" w:cstheme="majorBidi"/>
                <w:b/>
                <w:bCs/>
                <w:sz w:val="18"/>
                <w:szCs w:val="18"/>
              </w:rPr>
              <w:t>Remarque</w:t>
            </w:r>
          </w:p>
        </w:tc>
        <w:tc>
          <w:tcPr>
            <w:tcW w:w="1275" w:type="dxa"/>
            <w:tcBorders>
              <w:top w:val="single" w:color="auto" w:sz="4" w:space="0"/>
              <w:left w:val="nil"/>
              <w:bottom w:val="single" w:color="auto" w:sz="4" w:space="0"/>
              <w:right w:val="single" w:color="auto" w:sz="4" w:space="0"/>
            </w:tcBorders>
            <w:shd w:val="clear" w:color="000000" w:fill="FFFFFF"/>
          </w:tcPr>
          <w:p>
            <w:pPr>
              <w:tabs>
                <w:tab w:val="left" w:pos="1935"/>
              </w:tabs>
              <w:spacing w:line="240" w:lineRule="auto"/>
              <w:jc w:val="center"/>
              <w:rPr>
                <w:rFonts w:asciiTheme="majorBidi" w:hAnsiTheme="majorBidi" w:cstheme="majorBidi"/>
                <w:b/>
                <w:bCs/>
                <w:sz w:val="20"/>
                <w:szCs w:val="20"/>
              </w:rPr>
            </w:pPr>
            <w:r>
              <w:rPr>
                <w:rFonts w:ascii="Times New Roman" w:hAnsi="Times New Roman" w:cs="Times New Roman"/>
                <w:b/>
                <w:bCs/>
                <w:sz w:val="20"/>
                <w:szCs w:val="20"/>
              </w:rPr>
              <w:t xml:space="preserve">Faciès chimique </w:t>
            </w:r>
            <w:r>
              <w:rPr>
                <w:rFonts w:asciiTheme="majorBidi" w:hAnsiTheme="majorBidi" w:cstheme="majorBidi"/>
                <w:b/>
                <w:bCs/>
                <w:sz w:val="20"/>
                <w:szCs w:val="20"/>
              </w:rPr>
              <w:t xml:space="preserve"> </w:t>
            </w:r>
          </w:p>
        </w:tc>
      </w:tr>
      <w:tr>
        <w:tblPrEx>
          <w:tblCellMar>
            <w:top w:w="0" w:type="dxa"/>
            <w:left w:w="70" w:type="dxa"/>
            <w:bottom w:w="0" w:type="dxa"/>
            <w:right w:w="70" w:type="dxa"/>
          </w:tblCellMar>
        </w:tblPrEx>
        <w:trPr>
          <w:trHeight w:val="565" w:hRule="atLeast"/>
        </w:trPr>
        <w:tc>
          <w:tcPr>
            <w:tcW w:w="948" w:type="dxa"/>
            <w:tcBorders>
              <w:top w:val="single" w:color="auto" w:sz="4" w:space="0"/>
              <w:left w:val="single" w:color="auto" w:sz="4" w:space="0"/>
              <w:bottom w:val="single" w:color="auto" w:sz="4" w:space="0"/>
              <w:right w:val="single" w:color="auto" w:sz="4" w:space="0"/>
            </w:tcBorders>
            <w:shd w:val="clear" w:color="auto" w:fill="92D050"/>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Norme</w:t>
            </w:r>
          </w:p>
        </w:tc>
        <w:tc>
          <w:tcPr>
            <w:tcW w:w="949"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50</w:t>
            </w:r>
          </w:p>
        </w:tc>
        <w:tc>
          <w:tcPr>
            <w:tcW w:w="949"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400</w:t>
            </w:r>
          </w:p>
        </w:tc>
        <w:tc>
          <w:tcPr>
            <w:tcW w:w="949"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600</w:t>
            </w:r>
          </w:p>
        </w:tc>
        <w:tc>
          <w:tcPr>
            <w:tcW w:w="949"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200</w:t>
            </w:r>
          </w:p>
        </w:tc>
        <w:tc>
          <w:tcPr>
            <w:tcW w:w="949"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150</w:t>
            </w:r>
          </w:p>
        </w:tc>
        <w:tc>
          <w:tcPr>
            <w:tcW w:w="1167"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250</w:t>
            </w:r>
          </w:p>
        </w:tc>
        <w:tc>
          <w:tcPr>
            <w:tcW w:w="937" w:type="dxa"/>
            <w:tcBorders>
              <w:top w:val="single" w:color="auto" w:sz="4" w:space="0"/>
              <w:left w:val="nil"/>
              <w:bottom w:val="single" w:color="auto" w:sz="4" w:space="0"/>
              <w:right w:val="single" w:color="auto" w:sz="4" w:space="0"/>
            </w:tcBorders>
            <w:shd w:val="clear" w:color="auto" w:fill="92D050"/>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2000</w:t>
            </w:r>
          </w:p>
        </w:tc>
        <w:tc>
          <w:tcPr>
            <w:tcW w:w="993" w:type="dxa"/>
            <w:tcBorders>
              <w:top w:val="single" w:color="auto" w:sz="4" w:space="0"/>
              <w:left w:val="nil"/>
              <w:bottom w:val="single" w:color="auto" w:sz="4" w:space="0"/>
              <w:right w:val="single" w:color="auto" w:sz="4" w:space="0"/>
            </w:tcBorders>
            <w:shd w:val="clear" w:color="auto" w:fill="92D050"/>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Potable</w:t>
            </w:r>
          </w:p>
        </w:tc>
        <w:tc>
          <w:tcPr>
            <w:tcW w:w="1275" w:type="dxa"/>
            <w:tcBorders>
              <w:top w:val="single" w:color="auto" w:sz="4" w:space="0"/>
              <w:left w:val="nil"/>
              <w:bottom w:val="single" w:color="auto" w:sz="4" w:space="0"/>
              <w:right w:val="single" w:color="auto" w:sz="4" w:space="0"/>
            </w:tcBorders>
            <w:shd w:val="clear" w:color="auto" w:fill="auto"/>
          </w:tcPr>
          <w:p>
            <w:pPr>
              <w:spacing w:after="0" w:line="240" w:lineRule="auto"/>
              <w:jc w:val="center"/>
              <w:rPr>
                <w:rFonts w:ascii="Calibri" w:hAnsi="Calibri" w:eastAsia="Times New Roman" w:cs="Calibri"/>
                <w:color w:val="000000"/>
                <w:sz w:val="24"/>
                <w:szCs w:val="24"/>
              </w:rPr>
            </w:pPr>
          </w:p>
        </w:tc>
      </w:tr>
      <w:tr>
        <w:tblPrEx>
          <w:tblCellMar>
            <w:top w:w="0" w:type="dxa"/>
            <w:left w:w="70" w:type="dxa"/>
            <w:bottom w:w="0" w:type="dxa"/>
            <w:right w:w="70" w:type="dxa"/>
          </w:tblCellMar>
        </w:tblPrEx>
        <w:trPr>
          <w:trHeight w:val="448" w:hRule="atLeast"/>
        </w:trPr>
        <w:tc>
          <w:tcPr>
            <w:tcW w:w="948"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JAN</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1.56</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26</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444.5</w:t>
            </w:r>
          </w:p>
        </w:tc>
        <w:tc>
          <w:tcPr>
            <w:tcW w:w="949" w:type="dxa"/>
            <w:tcBorders>
              <w:top w:val="nil"/>
              <w:left w:val="nil"/>
              <w:bottom w:val="single" w:color="auto" w:sz="4" w:space="0"/>
              <w:right w:val="single" w:color="auto" w:sz="4" w:space="0"/>
            </w:tcBorders>
            <w:shd w:val="clear" w:color="auto" w:fill="FFFF00"/>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280</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25</w:t>
            </w:r>
          </w:p>
        </w:tc>
        <w:tc>
          <w:tcPr>
            <w:tcW w:w="1167" w:type="dxa"/>
            <w:tcBorders>
              <w:top w:val="nil"/>
              <w:left w:val="nil"/>
              <w:bottom w:val="single" w:color="auto" w:sz="4" w:space="0"/>
              <w:right w:val="single" w:color="auto" w:sz="4" w:space="0"/>
            </w:tcBorders>
            <w:shd w:val="clear" w:color="auto" w:fill="FFFF00"/>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307.933</w:t>
            </w:r>
          </w:p>
        </w:tc>
        <w:tc>
          <w:tcPr>
            <w:tcW w:w="937" w:type="dxa"/>
            <w:tcBorders>
              <w:top w:val="nil"/>
              <w:left w:val="nil"/>
              <w:bottom w:val="single" w:color="auto" w:sz="4" w:space="0"/>
              <w:right w:val="single" w:color="auto" w:sz="4" w:space="0"/>
            </w:tcBorders>
            <w:vAlign w:val="center"/>
          </w:tcPr>
          <w:p>
            <w:pPr>
              <w:spacing w:after="0" w:line="240" w:lineRule="auto"/>
              <w:jc w:val="center"/>
              <w:rPr>
                <w:rFonts w:ascii="Calibri" w:hAnsi="Calibri" w:eastAsia="Times New Roman" w:cs="Calibri"/>
                <w:color w:val="000000"/>
              </w:rPr>
            </w:pPr>
            <w:r>
              <w:t>1845</w:t>
            </w:r>
          </w:p>
        </w:tc>
        <w:tc>
          <w:tcPr>
            <w:tcW w:w="993" w:type="dxa"/>
            <w:tcBorders>
              <w:top w:val="nil"/>
              <w:left w:val="nil"/>
              <w:bottom w:val="single" w:color="auto" w:sz="4" w:space="0"/>
              <w:right w:val="single" w:color="auto" w:sz="4" w:space="0"/>
            </w:tcBorders>
            <w:shd w:val="clear" w:color="auto" w:fill="FFFF00"/>
          </w:tcPr>
          <w:p>
            <w:pPr>
              <w:spacing w:after="0" w:line="240" w:lineRule="auto"/>
              <w:jc w:val="center"/>
            </w:pPr>
            <w:r>
              <w:t xml:space="preserve">Non potable </w:t>
            </w:r>
          </w:p>
        </w:tc>
        <w:tc>
          <w:tcPr>
            <w:tcW w:w="1275" w:type="dxa"/>
            <w:tcBorders>
              <w:top w:val="nil"/>
              <w:left w:val="nil"/>
              <w:bottom w:val="single" w:color="auto" w:sz="4" w:space="0"/>
              <w:right w:val="single" w:color="auto" w:sz="4" w:space="0"/>
            </w:tcBorders>
            <w:shd w:val="clear" w:color="auto" w:fill="auto"/>
          </w:tcPr>
          <w:p>
            <w:pPr>
              <w:spacing w:after="0" w:line="240" w:lineRule="auto"/>
              <w:jc w:val="center"/>
            </w:pPr>
            <w:r>
              <w:t xml:space="preserve">Chloruré-magnésienne </w:t>
            </w:r>
          </w:p>
        </w:tc>
      </w:tr>
      <w:tr>
        <w:tblPrEx>
          <w:tblCellMar>
            <w:top w:w="0" w:type="dxa"/>
            <w:left w:w="70" w:type="dxa"/>
            <w:bottom w:w="0" w:type="dxa"/>
            <w:right w:w="70" w:type="dxa"/>
          </w:tblCellMar>
        </w:tblPrEx>
        <w:trPr>
          <w:trHeight w:val="448" w:hRule="atLeast"/>
        </w:trPr>
        <w:tc>
          <w:tcPr>
            <w:tcW w:w="948"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FEV</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1.56</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28.5</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444.5</w:t>
            </w:r>
          </w:p>
        </w:tc>
        <w:tc>
          <w:tcPr>
            <w:tcW w:w="949" w:type="dxa"/>
            <w:tcBorders>
              <w:top w:val="nil"/>
              <w:left w:val="nil"/>
              <w:bottom w:val="single" w:color="auto" w:sz="4" w:space="0"/>
              <w:right w:val="single" w:color="auto" w:sz="4" w:space="0"/>
            </w:tcBorders>
            <w:shd w:val="clear" w:color="auto" w:fill="FFFF00"/>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280</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25</w:t>
            </w:r>
          </w:p>
        </w:tc>
        <w:tc>
          <w:tcPr>
            <w:tcW w:w="1167" w:type="dxa"/>
            <w:tcBorders>
              <w:top w:val="nil"/>
              <w:left w:val="nil"/>
              <w:bottom w:val="single" w:color="auto" w:sz="4" w:space="0"/>
              <w:right w:val="single" w:color="auto" w:sz="4" w:space="0"/>
            </w:tcBorders>
            <w:shd w:val="clear" w:color="auto" w:fill="FFFF00"/>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296.433</w:t>
            </w:r>
          </w:p>
        </w:tc>
        <w:tc>
          <w:tcPr>
            <w:tcW w:w="937" w:type="dxa"/>
            <w:tcBorders>
              <w:top w:val="nil"/>
              <w:left w:val="nil"/>
              <w:bottom w:val="single" w:color="auto" w:sz="4" w:space="0"/>
              <w:right w:val="single" w:color="auto" w:sz="4" w:space="0"/>
            </w:tcBorders>
            <w:vAlign w:val="center"/>
          </w:tcPr>
          <w:p>
            <w:pPr>
              <w:spacing w:after="0" w:line="240" w:lineRule="auto"/>
              <w:jc w:val="center"/>
              <w:rPr>
                <w:rFonts w:ascii="Calibri" w:hAnsi="Calibri" w:eastAsia="Times New Roman" w:cs="Calibri"/>
                <w:color w:val="000000"/>
              </w:rPr>
            </w:pPr>
            <w:r>
              <w:t>1845</w:t>
            </w:r>
          </w:p>
        </w:tc>
        <w:tc>
          <w:tcPr>
            <w:tcW w:w="993" w:type="dxa"/>
            <w:tcBorders>
              <w:top w:val="nil"/>
              <w:left w:val="nil"/>
              <w:bottom w:val="single" w:color="auto" w:sz="4" w:space="0"/>
              <w:right w:val="single" w:color="auto" w:sz="4" w:space="0"/>
            </w:tcBorders>
            <w:shd w:val="clear" w:color="auto" w:fill="FFFF00"/>
          </w:tcPr>
          <w:p>
            <w:pPr>
              <w:spacing w:after="0" w:line="240" w:lineRule="auto"/>
              <w:jc w:val="center"/>
            </w:pPr>
            <w:r>
              <w:t>Non potable</w:t>
            </w:r>
          </w:p>
        </w:tc>
        <w:tc>
          <w:tcPr>
            <w:tcW w:w="1275" w:type="dxa"/>
            <w:tcBorders>
              <w:top w:val="nil"/>
              <w:left w:val="nil"/>
              <w:bottom w:val="single" w:color="auto" w:sz="4" w:space="0"/>
              <w:right w:val="single" w:color="auto" w:sz="4" w:space="0"/>
            </w:tcBorders>
            <w:shd w:val="clear" w:color="auto" w:fill="auto"/>
          </w:tcPr>
          <w:p>
            <w:pPr>
              <w:spacing w:after="0" w:line="240" w:lineRule="auto"/>
              <w:jc w:val="center"/>
            </w:pPr>
            <w:r>
              <w:t xml:space="preserve">Chloruré- calcique </w:t>
            </w:r>
          </w:p>
        </w:tc>
      </w:tr>
      <w:tr>
        <w:tblPrEx>
          <w:tblCellMar>
            <w:top w:w="0" w:type="dxa"/>
            <w:left w:w="70" w:type="dxa"/>
            <w:bottom w:w="0" w:type="dxa"/>
            <w:right w:w="70" w:type="dxa"/>
          </w:tblCellMar>
        </w:tblPrEx>
        <w:trPr>
          <w:trHeight w:val="471" w:hRule="atLeast"/>
        </w:trPr>
        <w:tc>
          <w:tcPr>
            <w:tcW w:w="948"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MAR</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1.31</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25</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474</w:t>
            </w:r>
          </w:p>
        </w:tc>
        <w:tc>
          <w:tcPr>
            <w:tcW w:w="949" w:type="dxa"/>
            <w:tcBorders>
              <w:top w:val="nil"/>
              <w:left w:val="nil"/>
              <w:bottom w:val="single" w:color="auto" w:sz="4" w:space="0"/>
              <w:right w:val="single" w:color="auto" w:sz="4" w:space="0"/>
            </w:tcBorders>
            <w:shd w:val="clear" w:color="auto" w:fill="FFFF00"/>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210</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12</w:t>
            </w:r>
          </w:p>
        </w:tc>
        <w:tc>
          <w:tcPr>
            <w:tcW w:w="116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231.658</w:t>
            </w:r>
          </w:p>
        </w:tc>
        <w:tc>
          <w:tcPr>
            <w:tcW w:w="937" w:type="dxa"/>
            <w:tcBorders>
              <w:top w:val="nil"/>
              <w:left w:val="nil"/>
              <w:bottom w:val="single" w:color="auto" w:sz="4" w:space="0"/>
              <w:right w:val="single" w:color="auto" w:sz="4" w:space="0"/>
            </w:tcBorders>
            <w:vAlign w:val="center"/>
          </w:tcPr>
          <w:p>
            <w:pPr>
              <w:spacing w:after="0" w:line="240" w:lineRule="auto"/>
              <w:jc w:val="center"/>
              <w:rPr>
                <w:rFonts w:ascii="Calibri" w:hAnsi="Calibri" w:eastAsia="Times New Roman" w:cs="Calibri"/>
                <w:color w:val="000000"/>
              </w:rPr>
            </w:pPr>
            <w:r>
              <w:t>1845</w:t>
            </w:r>
          </w:p>
        </w:tc>
        <w:tc>
          <w:tcPr>
            <w:tcW w:w="993" w:type="dxa"/>
            <w:tcBorders>
              <w:top w:val="nil"/>
              <w:left w:val="nil"/>
              <w:bottom w:val="single" w:color="auto" w:sz="4" w:space="0"/>
              <w:right w:val="single" w:color="auto" w:sz="4" w:space="0"/>
            </w:tcBorders>
            <w:shd w:val="clear" w:color="auto" w:fill="FFFF00"/>
          </w:tcPr>
          <w:p>
            <w:pPr>
              <w:spacing w:after="0" w:line="240" w:lineRule="auto"/>
              <w:jc w:val="center"/>
            </w:pPr>
            <w:r>
              <w:t>Non potable</w:t>
            </w:r>
          </w:p>
        </w:tc>
        <w:tc>
          <w:tcPr>
            <w:tcW w:w="1275" w:type="dxa"/>
            <w:tcBorders>
              <w:top w:val="nil"/>
              <w:left w:val="nil"/>
              <w:bottom w:val="single" w:color="auto" w:sz="4" w:space="0"/>
              <w:right w:val="single" w:color="auto" w:sz="4" w:space="0"/>
            </w:tcBorders>
            <w:shd w:val="clear" w:color="auto" w:fill="auto"/>
          </w:tcPr>
          <w:p>
            <w:pPr>
              <w:spacing w:after="0" w:line="240" w:lineRule="auto"/>
              <w:jc w:val="center"/>
            </w:pPr>
            <w:r>
              <w:t>Chloruré- calcique</w:t>
            </w:r>
          </w:p>
        </w:tc>
      </w:tr>
      <w:tr>
        <w:tblPrEx>
          <w:tblCellMar>
            <w:top w:w="0" w:type="dxa"/>
            <w:left w:w="70" w:type="dxa"/>
            <w:bottom w:w="0" w:type="dxa"/>
            <w:right w:w="70" w:type="dxa"/>
          </w:tblCellMar>
        </w:tblPrEx>
        <w:trPr>
          <w:trHeight w:val="471" w:hRule="atLeast"/>
        </w:trPr>
        <w:tc>
          <w:tcPr>
            <w:tcW w:w="948"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AVR</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1.31</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28.5</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467.5</w:t>
            </w:r>
          </w:p>
        </w:tc>
        <w:tc>
          <w:tcPr>
            <w:tcW w:w="949" w:type="dxa"/>
            <w:tcBorders>
              <w:top w:val="nil"/>
              <w:left w:val="nil"/>
              <w:bottom w:val="single" w:color="auto" w:sz="4" w:space="0"/>
              <w:right w:val="single" w:color="auto" w:sz="4" w:space="0"/>
            </w:tcBorders>
            <w:shd w:val="clear" w:color="auto" w:fill="FFFF00"/>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240</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16</w:t>
            </w:r>
          </w:p>
        </w:tc>
        <w:tc>
          <w:tcPr>
            <w:tcW w:w="1167" w:type="dxa"/>
            <w:tcBorders>
              <w:top w:val="nil"/>
              <w:left w:val="nil"/>
              <w:bottom w:val="single" w:color="auto" w:sz="4" w:space="0"/>
              <w:right w:val="single" w:color="auto" w:sz="4" w:space="0"/>
            </w:tcBorders>
            <w:shd w:val="clear" w:color="auto" w:fill="FFFF00"/>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268.658</w:t>
            </w:r>
          </w:p>
        </w:tc>
        <w:tc>
          <w:tcPr>
            <w:tcW w:w="937" w:type="dxa"/>
            <w:tcBorders>
              <w:top w:val="nil"/>
              <w:left w:val="nil"/>
              <w:bottom w:val="single" w:color="auto" w:sz="4" w:space="0"/>
              <w:right w:val="single" w:color="auto" w:sz="4" w:space="0"/>
            </w:tcBorders>
            <w:vAlign w:val="center"/>
          </w:tcPr>
          <w:p>
            <w:pPr>
              <w:spacing w:after="0" w:line="240" w:lineRule="auto"/>
              <w:jc w:val="center"/>
              <w:rPr>
                <w:rFonts w:ascii="Calibri" w:hAnsi="Calibri" w:eastAsia="Times New Roman" w:cs="Calibri"/>
                <w:color w:val="000000"/>
              </w:rPr>
            </w:pPr>
            <w:r>
              <w:t>1845</w:t>
            </w:r>
          </w:p>
        </w:tc>
        <w:tc>
          <w:tcPr>
            <w:tcW w:w="993" w:type="dxa"/>
            <w:tcBorders>
              <w:top w:val="nil"/>
              <w:left w:val="nil"/>
              <w:bottom w:val="single" w:color="auto" w:sz="4" w:space="0"/>
              <w:right w:val="single" w:color="auto" w:sz="4" w:space="0"/>
            </w:tcBorders>
            <w:shd w:val="clear" w:color="auto" w:fill="FFFF00"/>
          </w:tcPr>
          <w:p>
            <w:pPr>
              <w:spacing w:after="0" w:line="240" w:lineRule="auto"/>
              <w:jc w:val="center"/>
            </w:pPr>
            <w:r>
              <w:t>Non potable</w:t>
            </w:r>
          </w:p>
        </w:tc>
        <w:tc>
          <w:tcPr>
            <w:tcW w:w="1275" w:type="dxa"/>
            <w:tcBorders>
              <w:top w:val="nil"/>
              <w:left w:val="nil"/>
              <w:bottom w:val="single" w:color="auto" w:sz="4" w:space="0"/>
              <w:right w:val="single" w:color="auto" w:sz="4" w:space="0"/>
            </w:tcBorders>
            <w:shd w:val="clear" w:color="auto" w:fill="auto"/>
          </w:tcPr>
          <w:p>
            <w:pPr>
              <w:spacing w:after="0" w:line="240" w:lineRule="auto"/>
              <w:jc w:val="center"/>
            </w:pPr>
            <w:r>
              <w:t>Chloruré- calcique</w:t>
            </w:r>
          </w:p>
        </w:tc>
      </w:tr>
      <w:tr>
        <w:tblPrEx>
          <w:tblCellMar>
            <w:top w:w="0" w:type="dxa"/>
            <w:left w:w="70" w:type="dxa"/>
            <w:bottom w:w="0" w:type="dxa"/>
            <w:right w:w="70" w:type="dxa"/>
          </w:tblCellMar>
        </w:tblPrEx>
        <w:trPr>
          <w:trHeight w:val="471" w:hRule="atLeast"/>
        </w:trPr>
        <w:tc>
          <w:tcPr>
            <w:tcW w:w="948"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MAI</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rPr>
            </w:pPr>
            <w:r>
              <w:rPr>
                <w:rFonts w:ascii="Calibri" w:hAnsi="Calibri" w:eastAsia="Times New Roman" w:cs="Calibri"/>
              </w:rPr>
              <w:t>1.56</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rPr>
            </w:pPr>
            <w:r>
              <w:rPr>
                <w:rFonts w:ascii="Calibri" w:hAnsi="Calibri" w:eastAsia="Times New Roman" w:cs="Calibri"/>
              </w:rPr>
              <w:t>30</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rPr>
            </w:pPr>
            <w:r>
              <w:rPr>
                <w:rFonts w:ascii="Calibri" w:hAnsi="Calibri" w:eastAsia="Times New Roman" w:cs="Calibri"/>
              </w:rPr>
              <w:t>444.5</w:t>
            </w:r>
          </w:p>
        </w:tc>
        <w:tc>
          <w:tcPr>
            <w:tcW w:w="949" w:type="dxa"/>
            <w:tcBorders>
              <w:top w:val="nil"/>
              <w:left w:val="nil"/>
              <w:bottom w:val="single" w:color="auto" w:sz="4" w:space="0"/>
              <w:right w:val="single" w:color="auto" w:sz="4" w:space="0"/>
            </w:tcBorders>
            <w:shd w:val="clear" w:color="auto" w:fill="FFFF00"/>
            <w:vAlign w:val="center"/>
          </w:tcPr>
          <w:p>
            <w:pPr>
              <w:spacing w:after="0" w:line="240" w:lineRule="auto"/>
              <w:jc w:val="center"/>
              <w:rPr>
                <w:rFonts w:ascii="Calibri" w:hAnsi="Calibri" w:eastAsia="Times New Roman" w:cs="Calibri"/>
              </w:rPr>
            </w:pPr>
            <w:r>
              <w:rPr>
                <w:rFonts w:ascii="Calibri" w:hAnsi="Calibri" w:eastAsia="Times New Roman" w:cs="Calibri"/>
              </w:rPr>
              <w:t>280</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rPr>
            </w:pPr>
            <w:r>
              <w:rPr>
                <w:rFonts w:ascii="Calibri" w:hAnsi="Calibri" w:eastAsia="Times New Roman" w:cs="Calibri"/>
              </w:rPr>
              <w:t>25</w:t>
            </w:r>
          </w:p>
        </w:tc>
        <w:tc>
          <w:tcPr>
            <w:tcW w:w="1167" w:type="dxa"/>
            <w:tcBorders>
              <w:top w:val="nil"/>
              <w:left w:val="nil"/>
              <w:bottom w:val="single" w:color="auto" w:sz="4" w:space="0"/>
              <w:right w:val="single" w:color="auto" w:sz="4" w:space="0"/>
            </w:tcBorders>
            <w:shd w:val="clear" w:color="auto" w:fill="FFFF00"/>
            <w:noWrap/>
            <w:vAlign w:val="center"/>
          </w:tcPr>
          <w:p>
            <w:pPr>
              <w:spacing w:after="0" w:line="240" w:lineRule="auto"/>
              <w:jc w:val="center"/>
              <w:rPr>
                <w:rFonts w:ascii="Calibri" w:hAnsi="Calibri" w:eastAsia="Times New Roman" w:cs="Calibri"/>
              </w:rPr>
            </w:pPr>
            <w:r>
              <w:rPr>
                <w:rFonts w:ascii="Calibri" w:hAnsi="Calibri" w:eastAsia="Times New Roman" w:cs="Calibri"/>
              </w:rPr>
              <w:t>294.933</w:t>
            </w:r>
          </w:p>
        </w:tc>
        <w:tc>
          <w:tcPr>
            <w:tcW w:w="937" w:type="dxa"/>
            <w:tcBorders>
              <w:top w:val="nil"/>
              <w:left w:val="nil"/>
              <w:bottom w:val="single" w:color="auto" w:sz="4" w:space="0"/>
              <w:right w:val="single" w:color="auto" w:sz="4" w:space="0"/>
            </w:tcBorders>
            <w:vAlign w:val="center"/>
          </w:tcPr>
          <w:p>
            <w:pPr>
              <w:spacing w:after="0" w:line="240" w:lineRule="auto"/>
              <w:jc w:val="center"/>
              <w:rPr>
                <w:rFonts w:ascii="Calibri" w:hAnsi="Calibri" w:eastAsia="Times New Roman" w:cs="Calibri"/>
              </w:rPr>
            </w:pPr>
            <w:r>
              <w:t>1845</w:t>
            </w:r>
          </w:p>
        </w:tc>
        <w:tc>
          <w:tcPr>
            <w:tcW w:w="993" w:type="dxa"/>
            <w:tcBorders>
              <w:top w:val="nil"/>
              <w:left w:val="nil"/>
              <w:bottom w:val="single" w:color="auto" w:sz="4" w:space="0"/>
              <w:right w:val="single" w:color="auto" w:sz="4" w:space="0"/>
            </w:tcBorders>
            <w:shd w:val="clear" w:color="auto" w:fill="FFFF00"/>
          </w:tcPr>
          <w:p>
            <w:pPr>
              <w:spacing w:after="0" w:line="240" w:lineRule="auto"/>
              <w:jc w:val="center"/>
            </w:pPr>
            <w:r>
              <w:t>Non potable</w:t>
            </w:r>
          </w:p>
        </w:tc>
        <w:tc>
          <w:tcPr>
            <w:tcW w:w="1275" w:type="dxa"/>
            <w:tcBorders>
              <w:top w:val="nil"/>
              <w:left w:val="nil"/>
              <w:bottom w:val="single" w:color="auto" w:sz="4" w:space="0"/>
              <w:right w:val="single" w:color="auto" w:sz="4" w:space="0"/>
            </w:tcBorders>
            <w:shd w:val="clear" w:color="auto" w:fill="auto"/>
          </w:tcPr>
          <w:p>
            <w:pPr>
              <w:spacing w:after="0" w:line="240" w:lineRule="auto"/>
              <w:jc w:val="center"/>
            </w:pPr>
            <w:r>
              <w:t>Chloruré- calcique</w:t>
            </w:r>
          </w:p>
        </w:tc>
      </w:tr>
      <w:tr>
        <w:tblPrEx>
          <w:tblCellMar>
            <w:top w:w="0" w:type="dxa"/>
            <w:left w:w="70" w:type="dxa"/>
            <w:bottom w:w="0" w:type="dxa"/>
            <w:right w:w="70" w:type="dxa"/>
          </w:tblCellMar>
        </w:tblPrEx>
        <w:trPr>
          <w:trHeight w:val="471" w:hRule="atLeast"/>
        </w:trPr>
        <w:tc>
          <w:tcPr>
            <w:tcW w:w="948"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JUI</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1.50</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29</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460</w:t>
            </w:r>
          </w:p>
        </w:tc>
        <w:tc>
          <w:tcPr>
            <w:tcW w:w="949" w:type="dxa"/>
            <w:tcBorders>
              <w:top w:val="nil"/>
              <w:left w:val="nil"/>
              <w:bottom w:val="single" w:color="auto" w:sz="4" w:space="0"/>
              <w:right w:val="single" w:color="auto" w:sz="4" w:space="0"/>
            </w:tcBorders>
            <w:shd w:val="clear" w:color="auto" w:fill="FFFF00"/>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280</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25</w:t>
            </w:r>
          </w:p>
        </w:tc>
        <w:tc>
          <w:tcPr>
            <w:tcW w:w="1167" w:type="dxa"/>
            <w:tcBorders>
              <w:top w:val="nil"/>
              <w:left w:val="nil"/>
              <w:bottom w:val="single" w:color="auto" w:sz="4" w:space="0"/>
              <w:right w:val="single" w:color="auto" w:sz="4" w:space="0"/>
            </w:tcBorders>
            <w:shd w:val="clear" w:color="auto" w:fill="FFFF00"/>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280.57</w:t>
            </w:r>
          </w:p>
        </w:tc>
        <w:tc>
          <w:tcPr>
            <w:tcW w:w="937" w:type="dxa"/>
            <w:tcBorders>
              <w:top w:val="nil"/>
              <w:left w:val="nil"/>
              <w:bottom w:val="single" w:color="auto" w:sz="4" w:space="0"/>
              <w:right w:val="single" w:color="auto" w:sz="4" w:space="0"/>
            </w:tcBorders>
            <w:vAlign w:val="center"/>
          </w:tcPr>
          <w:p>
            <w:pPr>
              <w:spacing w:after="0" w:line="240" w:lineRule="auto"/>
              <w:jc w:val="center"/>
              <w:rPr>
                <w:rFonts w:ascii="Calibri" w:hAnsi="Calibri" w:eastAsia="Times New Roman" w:cs="Calibri"/>
                <w:color w:val="000000"/>
              </w:rPr>
            </w:pPr>
            <w:r>
              <w:t>1845</w:t>
            </w:r>
          </w:p>
        </w:tc>
        <w:tc>
          <w:tcPr>
            <w:tcW w:w="993" w:type="dxa"/>
            <w:tcBorders>
              <w:top w:val="nil"/>
              <w:left w:val="nil"/>
              <w:bottom w:val="single" w:color="auto" w:sz="4" w:space="0"/>
              <w:right w:val="single" w:color="auto" w:sz="4" w:space="0"/>
            </w:tcBorders>
            <w:shd w:val="clear" w:color="auto" w:fill="FFFF00"/>
          </w:tcPr>
          <w:p>
            <w:pPr>
              <w:spacing w:after="0" w:line="240" w:lineRule="auto"/>
              <w:jc w:val="center"/>
            </w:pPr>
            <w:r>
              <w:t>Non potable</w:t>
            </w:r>
          </w:p>
        </w:tc>
        <w:tc>
          <w:tcPr>
            <w:tcW w:w="1275" w:type="dxa"/>
            <w:tcBorders>
              <w:top w:val="nil"/>
              <w:left w:val="nil"/>
              <w:bottom w:val="single" w:color="auto" w:sz="4" w:space="0"/>
              <w:right w:val="single" w:color="auto" w:sz="4" w:space="0"/>
            </w:tcBorders>
            <w:shd w:val="clear" w:color="auto" w:fill="auto"/>
          </w:tcPr>
          <w:p>
            <w:pPr>
              <w:spacing w:after="0" w:line="240" w:lineRule="auto"/>
              <w:jc w:val="center"/>
            </w:pPr>
            <w:r>
              <w:t>Chloruré- calcique</w:t>
            </w:r>
          </w:p>
        </w:tc>
      </w:tr>
      <w:tr>
        <w:tblPrEx>
          <w:tblCellMar>
            <w:top w:w="0" w:type="dxa"/>
            <w:left w:w="70" w:type="dxa"/>
            <w:bottom w:w="0" w:type="dxa"/>
            <w:right w:w="70" w:type="dxa"/>
          </w:tblCellMar>
        </w:tblPrEx>
        <w:trPr>
          <w:trHeight w:val="471" w:hRule="atLeast"/>
        </w:trPr>
        <w:tc>
          <w:tcPr>
            <w:tcW w:w="948"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JUIL</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1.50</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29</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460</w:t>
            </w:r>
          </w:p>
        </w:tc>
        <w:tc>
          <w:tcPr>
            <w:tcW w:w="949" w:type="dxa"/>
            <w:tcBorders>
              <w:top w:val="nil"/>
              <w:left w:val="nil"/>
              <w:bottom w:val="single" w:color="auto" w:sz="4" w:space="0"/>
              <w:right w:val="single" w:color="auto" w:sz="4" w:space="0"/>
            </w:tcBorders>
            <w:shd w:val="clear" w:color="auto" w:fill="FFFF00"/>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280</w:t>
            </w:r>
          </w:p>
        </w:tc>
        <w:tc>
          <w:tcPr>
            <w:tcW w:w="949"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25</w:t>
            </w:r>
          </w:p>
        </w:tc>
        <w:tc>
          <w:tcPr>
            <w:tcW w:w="1167" w:type="dxa"/>
            <w:tcBorders>
              <w:top w:val="nil"/>
              <w:left w:val="nil"/>
              <w:bottom w:val="single" w:color="auto" w:sz="4" w:space="0"/>
              <w:right w:val="single" w:color="auto" w:sz="4" w:space="0"/>
            </w:tcBorders>
            <w:shd w:val="clear" w:color="auto" w:fill="FFFF00"/>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280.613</w:t>
            </w:r>
          </w:p>
        </w:tc>
        <w:tc>
          <w:tcPr>
            <w:tcW w:w="937" w:type="dxa"/>
            <w:tcBorders>
              <w:top w:val="nil"/>
              <w:left w:val="nil"/>
              <w:bottom w:val="single" w:color="auto" w:sz="4" w:space="0"/>
              <w:right w:val="single" w:color="auto" w:sz="4" w:space="0"/>
            </w:tcBorders>
            <w:vAlign w:val="center"/>
          </w:tcPr>
          <w:p>
            <w:pPr>
              <w:spacing w:after="0" w:line="240" w:lineRule="auto"/>
              <w:jc w:val="center"/>
              <w:rPr>
                <w:rFonts w:ascii="Calibri" w:hAnsi="Calibri" w:eastAsia="Times New Roman" w:cs="Calibri"/>
                <w:color w:val="000000"/>
              </w:rPr>
            </w:pPr>
            <w:r>
              <w:t>1935</w:t>
            </w:r>
          </w:p>
        </w:tc>
        <w:tc>
          <w:tcPr>
            <w:tcW w:w="993" w:type="dxa"/>
            <w:tcBorders>
              <w:top w:val="nil"/>
              <w:left w:val="nil"/>
              <w:bottom w:val="single" w:color="auto" w:sz="4" w:space="0"/>
              <w:right w:val="single" w:color="auto" w:sz="4" w:space="0"/>
            </w:tcBorders>
            <w:shd w:val="clear" w:color="auto" w:fill="FFFF00"/>
          </w:tcPr>
          <w:p>
            <w:pPr>
              <w:spacing w:after="0" w:line="240" w:lineRule="auto"/>
              <w:jc w:val="center"/>
            </w:pPr>
            <w:r>
              <w:t>Non potable</w:t>
            </w:r>
          </w:p>
        </w:tc>
        <w:tc>
          <w:tcPr>
            <w:tcW w:w="1275" w:type="dxa"/>
            <w:tcBorders>
              <w:top w:val="nil"/>
              <w:left w:val="nil"/>
              <w:bottom w:val="single" w:color="auto" w:sz="4" w:space="0"/>
              <w:right w:val="single" w:color="auto" w:sz="4" w:space="0"/>
            </w:tcBorders>
            <w:shd w:val="clear" w:color="auto" w:fill="auto"/>
          </w:tcPr>
          <w:p>
            <w:pPr>
              <w:spacing w:after="0" w:line="240" w:lineRule="auto"/>
              <w:jc w:val="center"/>
            </w:pPr>
            <w:r>
              <w:t>Chloruré- calcique</w:t>
            </w:r>
          </w:p>
        </w:tc>
      </w:tr>
      <w:tr>
        <w:tblPrEx>
          <w:tblCellMar>
            <w:top w:w="0" w:type="dxa"/>
            <w:left w:w="70" w:type="dxa"/>
            <w:bottom w:w="0" w:type="dxa"/>
            <w:right w:w="70" w:type="dxa"/>
          </w:tblCellMar>
        </w:tblPrEx>
        <w:trPr>
          <w:trHeight w:val="471" w:hRule="atLeast"/>
        </w:trPr>
        <w:tc>
          <w:tcPr>
            <w:tcW w:w="948"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OCT</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2.09</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27</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419</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40</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18</w:t>
            </w:r>
          </w:p>
        </w:tc>
        <w:tc>
          <w:tcPr>
            <w:tcW w:w="116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173.163</w:t>
            </w:r>
          </w:p>
        </w:tc>
        <w:tc>
          <w:tcPr>
            <w:tcW w:w="937" w:type="dxa"/>
            <w:tcBorders>
              <w:top w:val="nil"/>
              <w:left w:val="nil"/>
              <w:bottom w:val="single" w:color="auto" w:sz="4" w:space="0"/>
              <w:right w:val="single" w:color="auto" w:sz="4" w:space="0"/>
            </w:tcBorders>
            <w:vAlign w:val="center"/>
          </w:tcPr>
          <w:p>
            <w:pPr>
              <w:spacing w:after="0" w:line="240" w:lineRule="auto"/>
              <w:jc w:val="center"/>
              <w:rPr>
                <w:rFonts w:ascii="Calibri" w:hAnsi="Calibri" w:eastAsia="Times New Roman" w:cs="Calibri"/>
                <w:color w:val="000000"/>
              </w:rPr>
            </w:pPr>
            <w:r>
              <w:t>1740</w:t>
            </w:r>
          </w:p>
        </w:tc>
        <w:tc>
          <w:tcPr>
            <w:tcW w:w="993" w:type="dxa"/>
            <w:tcBorders>
              <w:top w:val="nil"/>
              <w:left w:val="nil"/>
              <w:bottom w:val="single" w:color="auto" w:sz="4" w:space="0"/>
              <w:right w:val="single" w:color="auto" w:sz="4" w:space="0"/>
            </w:tcBorders>
            <w:shd w:val="clear" w:color="auto" w:fill="92D050"/>
          </w:tcPr>
          <w:p>
            <w:pPr>
              <w:spacing w:after="0" w:line="240" w:lineRule="auto"/>
              <w:jc w:val="center"/>
            </w:pPr>
            <w:r>
              <w:t>potable</w:t>
            </w:r>
          </w:p>
        </w:tc>
        <w:tc>
          <w:tcPr>
            <w:tcW w:w="1275" w:type="dxa"/>
            <w:tcBorders>
              <w:top w:val="nil"/>
              <w:left w:val="nil"/>
              <w:bottom w:val="single" w:color="auto" w:sz="4" w:space="0"/>
              <w:right w:val="single" w:color="auto" w:sz="4" w:space="0"/>
            </w:tcBorders>
            <w:shd w:val="clear" w:color="auto" w:fill="auto"/>
          </w:tcPr>
          <w:p>
            <w:pPr>
              <w:spacing w:after="0" w:line="240" w:lineRule="auto"/>
              <w:jc w:val="center"/>
            </w:pPr>
            <w:r>
              <w:t>Chloruré- calcique</w:t>
            </w:r>
          </w:p>
        </w:tc>
      </w:tr>
      <w:tr>
        <w:tblPrEx>
          <w:tblCellMar>
            <w:top w:w="0" w:type="dxa"/>
            <w:left w:w="70" w:type="dxa"/>
            <w:bottom w:w="0" w:type="dxa"/>
            <w:right w:w="70" w:type="dxa"/>
          </w:tblCellMar>
        </w:tblPrEx>
        <w:trPr>
          <w:trHeight w:val="471" w:hRule="atLeast"/>
        </w:trPr>
        <w:tc>
          <w:tcPr>
            <w:tcW w:w="948"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NOV</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2.09</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28</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634</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41</w:t>
            </w:r>
          </w:p>
        </w:tc>
        <w:tc>
          <w:tcPr>
            <w:tcW w:w="949"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24</w:t>
            </w:r>
          </w:p>
        </w:tc>
        <w:tc>
          <w:tcPr>
            <w:tcW w:w="116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35.89</w:t>
            </w:r>
          </w:p>
        </w:tc>
        <w:tc>
          <w:tcPr>
            <w:tcW w:w="937" w:type="dxa"/>
            <w:tcBorders>
              <w:top w:val="nil"/>
              <w:left w:val="nil"/>
              <w:bottom w:val="single" w:color="auto" w:sz="4" w:space="0"/>
              <w:right w:val="single" w:color="auto" w:sz="4" w:space="0"/>
            </w:tcBorders>
            <w:vAlign w:val="center"/>
          </w:tcPr>
          <w:p>
            <w:pPr>
              <w:spacing w:after="0" w:line="240" w:lineRule="auto"/>
              <w:jc w:val="center"/>
              <w:rPr>
                <w:rFonts w:ascii="Calibri" w:hAnsi="Calibri" w:eastAsia="Times New Roman" w:cs="Calibri"/>
                <w:color w:val="000000"/>
              </w:rPr>
            </w:pPr>
            <w:r>
              <w:t>1810</w:t>
            </w:r>
          </w:p>
        </w:tc>
        <w:tc>
          <w:tcPr>
            <w:tcW w:w="993" w:type="dxa"/>
            <w:tcBorders>
              <w:top w:val="nil"/>
              <w:left w:val="nil"/>
              <w:bottom w:val="single" w:color="auto" w:sz="4" w:space="0"/>
              <w:right w:val="single" w:color="auto" w:sz="4" w:space="0"/>
            </w:tcBorders>
            <w:shd w:val="clear" w:color="auto" w:fill="92D050"/>
          </w:tcPr>
          <w:p>
            <w:pPr>
              <w:spacing w:after="0" w:line="240" w:lineRule="auto"/>
              <w:jc w:val="center"/>
            </w:pPr>
            <w:r>
              <w:t xml:space="preserve">Potable </w:t>
            </w:r>
          </w:p>
        </w:tc>
        <w:tc>
          <w:tcPr>
            <w:tcW w:w="1275" w:type="dxa"/>
            <w:tcBorders>
              <w:top w:val="nil"/>
              <w:left w:val="nil"/>
              <w:bottom w:val="single" w:color="auto" w:sz="4" w:space="0"/>
              <w:right w:val="single" w:color="auto" w:sz="4" w:space="0"/>
            </w:tcBorders>
            <w:shd w:val="clear" w:color="auto" w:fill="auto"/>
          </w:tcPr>
          <w:p>
            <w:pPr>
              <w:spacing w:after="0" w:line="240" w:lineRule="auto"/>
              <w:jc w:val="center"/>
            </w:pPr>
            <w:r>
              <w:t>Chloruré- calcique</w:t>
            </w:r>
          </w:p>
        </w:tc>
      </w:tr>
    </w:tbl>
    <w:p>
      <w:pPr>
        <w:tabs>
          <w:tab w:val="left" w:pos="1935"/>
        </w:tabs>
        <w:spacing w:after="0" w:line="360" w:lineRule="auto"/>
        <w:rPr>
          <w:rFonts w:ascii="Times New Roman" w:hAnsi="Times New Roman" w:cs="Times New Roman"/>
          <w:sz w:val="28"/>
          <w:szCs w:val="28"/>
        </w:rPr>
      </w:pPr>
    </w:p>
    <w:p>
      <w:pPr>
        <w:tabs>
          <w:tab w:val="left" w:pos="1935"/>
        </w:tabs>
        <w:spacing w:after="0" w:line="360" w:lineRule="auto"/>
        <w:rPr>
          <w:rFonts w:ascii="Times New Roman" w:hAnsi="Times New Roman" w:cs="Times New Roman"/>
        </w:rPr>
      </w:pPr>
      <w:r>
        <w:rPr>
          <w:rFonts w:ascii="Times New Roman" w:hAnsi="Times New Roman" w:cs="Times New Roman"/>
          <w:sz w:val="24"/>
          <w:szCs w:val="24"/>
        </w:rPr>
        <w:t>D’après le tableau</w:t>
      </w:r>
      <w:r>
        <w:rPr>
          <w:rFonts w:ascii="Times New Roman" w:hAnsi="Times New Roman" w:cs="Times New Roman"/>
        </w:rPr>
        <w:t xml:space="preserve"> </w:t>
      </w:r>
      <w:r>
        <w:rPr>
          <w:rFonts w:ascii="Times New Roman" w:hAnsi="Times New Roman" w:cs="Times New Roman"/>
          <w:sz w:val="24"/>
          <w:szCs w:val="24"/>
        </w:rPr>
        <w:t xml:space="preserve">de potabilité chimique des eaux brute on conclut que cette eau est non potable et doit être traitée avant la consommation. </w:t>
      </w: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pStyle w:val="10"/>
        <w:spacing w:before="100" w:beforeAutospacing="1" w:after="100" w:afterAutospacing="1" w:line="360" w:lineRule="auto"/>
        <w:ind w:left="927"/>
        <w:rPr>
          <w:rFonts w:eastAsia="TimesNewRomanOOEnc" w:asciiTheme="majorBidi" w:hAnsiTheme="majorBidi" w:cstheme="majorBidi"/>
          <w:sz w:val="24"/>
          <w:szCs w:val="24"/>
        </w:rPr>
      </w:pP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b/>
          <w:bCs/>
          <w:sz w:val="24"/>
          <w:szCs w:val="24"/>
        </w:rPr>
        <w:t>6.3.2 L’eau traitée</w:t>
      </w:r>
      <w:r>
        <w:rPr>
          <w:rFonts w:eastAsia="TimesNewRomanOOEnc" w:asciiTheme="majorBidi" w:hAnsiTheme="majorBidi" w:cstheme="majorBidi"/>
          <w:sz w:val="24"/>
          <w:szCs w:val="24"/>
        </w:rPr>
        <w:t>:</w:t>
      </w:r>
    </w:p>
    <w:p>
      <w:pPr>
        <w:spacing w:after="0" w:line="360" w:lineRule="auto"/>
        <w:jc w:val="center"/>
        <w:rPr>
          <w:rFonts w:eastAsia="TimesNewRomanOOEnc" w:asciiTheme="majorBidi" w:hAnsiTheme="majorBidi" w:cstheme="majorBidi"/>
          <w:sz w:val="24"/>
          <w:szCs w:val="24"/>
        </w:rPr>
      </w:pPr>
      <w:r>
        <w:rPr>
          <w:rFonts w:asciiTheme="majorBidi" w:hAnsiTheme="majorBidi" w:cstheme="majorBidi"/>
          <w:sz w:val="24"/>
          <w:szCs w:val="24"/>
        </w:rPr>
        <w:t>Tableau n°25 : les analyses des paramètres physiques et chimiques de l’eau traitée :</w:t>
      </w:r>
    </w:p>
    <w:tbl>
      <w:tblPr>
        <w:tblStyle w:val="11"/>
        <w:tblW w:w="946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242"/>
        <w:gridCol w:w="709"/>
        <w:gridCol w:w="851"/>
        <w:gridCol w:w="850"/>
        <w:gridCol w:w="992"/>
        <w:gridCol w:w="851"/>
        <w:gridCol w:w="992"/>
        <w:gridCol w:w="992"/>
        <w:gridCol w:w="993"/>
        <w:gridCol w:w="99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tcBorders>
              <w:left w:val="single" w:color="auto" w:sz="4" w:space="0"/>
              <w:tl2br w:val="single" w:color="auto" w:sz="4" w:space="0"/>
            </w:tcBorders>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 xml:space="preserve">      Mois</w:t>
            </w:r>
          </w:p>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paramètre</w:t>
            </w:r>
          </w:p>
        </w:tc>
        <w:tc>
          <w:tcPr>
            <w:tcW w:w="709" w:type="dxa"/>
            <w:tcBorders>
              <w:left w:val="single" w:color="auto" w:sz="4" w:space="0"/>
            </w:tcBorders>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JAN</w:t>
            </w:r>
          </w:p>
        </w:tc>
        <w:tc>
          <w:tcPr>
            <w:tcW w:w="851"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FEV</w:t>
            </w:r>
          </w:p>
        </w:tc>
        <w:tc>
          <w:tcPr>
            <w:tcW w:w="850"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MAR</w:t>
            </w:r>
          </w:p>
        </w:tc>
        <w:tc>
          <w:tcPr>
            <w:tcW w:w="99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AVR</w:t>
            </w:r>
          </w:p>
        </w:tc>
        <w:tc>
          <w:tcPr>
            <w:tcW w:w="851"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MAI</w:t>
            </w:r>
          </w:p>
        </w:tc>
        <w:tc>
          <w:tcPr>
            <w:tcW w:w="99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JUI</w:t>
            </w:r>
          </w:p>
        </w:tc>
        <w:tc>
          <w:tcPr>
            <w:tcW w:w="99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JUIT</w:t>
            </w:r>
          </w:p>
        </w:tc>
        <w:tc>
          <w:tcPr>
            <w:tcW w:w="993"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OCT</w:t>
            </w:r>
          </w:p>
        </w:tc>
        <w:tc>
          <w:tcPr>
            <w:tcW w:w="99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NOV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PH</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7.5</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7.5</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7.5</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7.5</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7.5</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7.5</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7.5</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7.5</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7.5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Tueb (NTU)</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0.5-0.32</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0.6-0.32</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0.8-0.42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0.8-0.42</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0.8-0.42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0.6-0.32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0.37-0.28</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0.42-0.35</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0.44-0.29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Condu (µS/Cm)</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1380-1330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1380-1330</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2380-2340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2480-2370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1380-1330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1380-1330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3050-3010</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2910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2840-2710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NO</w:t>
            </w:r>
            <w:r>
              <w:rPr>
                <w:rFonts w:asciiTheme="majorBidi" w:hAnsiTheme="majorBidi" w:cstheme="majorBidi"/>
                <w:sz w:val="20"/>
                <w:szCs w:val="20"/>
                <w:vertAlign w:val="superscript"/>
              </w:rPr>
              <w:t xml:space="preserve">3- </w:t>
            </w:r>
            <w:r>
              <w:rPr>
                <w:rFonts w:asciiTheme="majorBidi" w:hAnsiTheme="majorBidi" w:cstheme="majorBidi"/>
                <w:sz w:val="20"/>
                <w:szCs w:val="20"/>
              </w:rPr>
              <w:t>(mg/l)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1.23</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1.23</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1.03</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1.03</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1.23</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1.29-1.19</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1.29-1.19</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1.92-1.45</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1.92-1.45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PO</w:t>
            </w:r>
            <w:r>
              <w:rPr>
                <w:rFonts w:asciiTheme="majorBidi" w:hAnsiTheme="majorBidi" w:cstheme="majorBidi"/>
                <w:sz w:val="20"/>
                <w:szCs w:val="20"/>
                <w:vertAlign w:val="subscript"/>
              </w:rPr>
              <w:t>4</w:t>
            </w:r>
            <w:r>
              <w:rPr>
                <w:rFonts w:asciiTheme="majorBidi" w:hAnsiTheme="majorBidi" w:cstheme="majorBidi"/>
                <w:sz w:val="20"/>
                <w:szCs w:val="20"/>
                <w:vertAlign w:val="superscript"/>
              </w:rPr>
              <w:t xml:space="preserve">3- </w:t>
            </w:r>
            <w:r>
              <w:rPr>
                <w:rFonts w:asciiTheme="majorBidi" w:hAnsiTheme="majorBidi" w:cstheme="majorBidi"/>
                <w:sz w:val="20"/>
                <w:szCs w:val="20"/>
              </w:rPr>
              <w:t>(mg/l)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SO</w:t>
            </w:r>
            <w:r>
              <w:rPr>
                <w:rFonts w:asciiTheme="majorBidi" w:hAnsiTheme="majorBidi" w:cstheme="majorBidi"/>
                <w:sz w:val="20"/>
                <w:szCs w:val="20"/>
                <w:vertAlign w:val="superscript"/>
              </w:rPr>
              <w:t>2 -</w:t>
            </w:r>
            <w:r>
              <w:rPr>
                <w:rFonts w:asciiTheme="majorBidi" w:hAnsiTheme="majorBidi" w:cstheme="majorBidi"/>
                <w:sz w:val="20"/>
                <w:szCs w:val="20"/>
              </w:rPr>
              <w:t>(mg/l)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250-320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250-320</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320-340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360-350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250-320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360-320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360-340</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355-370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254-136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NH</w:t>
            </w:r>
            <w:r>
              <w:rPr>
                <w:rFonts w:asciiTheme="majorBidi" w:hAnsiTheme="majorBidi" w:cstheme="majorBidi"/>
                <w:sz w:val="20"/>
                <w:szCs w:val="20"/>
                <w:vertAlign w:val="superscript"/>
              </w:rPr>
              <w:t xml:space="preserve">4+ </w:t>
            </w:r>
            <w:r>
              <w:rPr>
                <w:rFonts w:asciiTheme="majorBidi" w:hAnsiTheme="majorBidi" w:cstheme="majorBidi"/>
                <w:sz w:val="20"/>
                <w:szCs w:val="20"/>
              </w:rPr>
              <w:t>(mg/l)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0.08-0.022</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0.082-0.022</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0.038</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0.029</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0.082-0.022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0.085-0.032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0.053</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0.075-0.03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Fe</w:t>
            </w:r>
            <w:r>
              <w:rPr>
                <w:rFonts w:asciiTheme="majorBidi" w:hAnsiTheme="majorBidi" w:cstheme="majorBidi"/>
                <w:sz w:val="20"/>
                <w:szCs w:val="20"/>
                <w:vertAlign w:val="superscript"/>
              </w:rPr>
              <w:t xml:space="preserve">2+ </w:t>
            </w:r>
            <w:r>
              <w:rPr>
                <w:rFonts w:asciiTheme="majorBidi" w:hAnsiTheme="majorBidi" w:cstheme="majorBidi"/>
                <w:sz w:val="20"/>
                <w:szCs w:val="20"/>
              </w:rPr>
              <w:t>(</w:t>
            </w:r>
            <w:r>
              <w:rPr>
                <w:rFonts w:asciiTheme="majorBidi" w:hAnsiTheme="majorBidi" w:cstheme="majorBidi"/>
                <w:sz w:val="20"/>
                <w:szCs w:val="20"/>
                <w:vertAlign w:val="superscript"/>
              </w:rPr>
              <w:t xml:space="preserve"> </w:t>
            </w:r>
            <w:r>
              <w:rPr>
                <w:rFonts w:asciiTheme="majorBidi" w:hAnsiTheme="majorBidi" w:cstheme="majorBidi"/>
                <w:sz w:val="20"/>
                <w:szCs w:val="20"/>
              </w:rPr>
              <w:t>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Cl</w:t>
            </w:r>
            <w:r>
              <w:rPr>
                <w:rFonts w:asciiTheme="majorBidi" w:hAnsiTheme="majorBidi" w:cstheme="majorBidi"/>
                <w:sz w:val="20"/>
                <w:szCs w:val="20"/>
                <w:vertAlign w:val="superscript"/>
              </w:rPr>
              <w:t>-</w:t>
            </w:r>
            <w:r>
              <w:rPr>
                <w:rFonts w:asciiTheme="majorBidi" w:hAnsiTheme="majorBidi" w:cstheme="majorBidi"/>
                <w:sz w:val="20"/>
                <w:szCs w:val="20"/>
              </w:rPr>
              <w:t>(mg/l)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475-414</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00475-414</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450-492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451-488</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475-414</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472-434</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472-434</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423-410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581-424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MES (mg/l)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32</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32</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32</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38</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32</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38</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42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RS 105° (mg/l)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1782</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1782</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1782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1782</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1782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1802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1843</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1720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1760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Ca</w:t>
            </w:r>
            <w:r>
              <w:rPr>
                <w:rFonts w:asciiTheme="majorBidi" w:hAnsiTheme="majorBidi" w:cstheme="majorBidi"/>
                <w:sz w:val="20"/>
                <w:szCs w:val="20"/>
                <w:vertAlign w:val="superscript"/>
              </w:rPr>
              <w:t>2+</w:t>
            </w:r>
            <w:r>
              <w:rPr>
                <w:rFonts w:asciiTheme="majorBidi" w:hAnsiTheme="majorBidi" w:cstheme="majorBidi"/>
                <w:sz w:val="20"/>
                <w:szCs w:val="20"/>
              </w:rPr>
              <w:t xml:space="preserve"> (mg/l)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260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260</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180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180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260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260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260</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42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45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Mg</w:t>
            </w:r>
            <w:r>
              <w:rPr>
                <w:rFonts w:asciiTheme="majorBidi" w:hAnsiTheme="majorBidi" w:cstheme="majorBidi"/>
                <w:sz w:val="20"/>
                <w:szCs w:val="20"/>
                <w:vertAlign w:val="superscript"/>
              </w:rPr>
              <w:t>2+</w:t>
            </w:r>
            <w:r>
              <w:rPr>
                <w:rFonts w:asciiTheme="majorBidi" w:hAnsiTheme="majorBidi" w:cstheme="majorBidi"/>
                <w:sz w:val="20"/>
                <w:szCs w:val="20"/>
              </w:rPr>
              <w:t xml:space="preserve"> (mg/l)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18</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TH (mg/l)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92-97</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92-97</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90-85</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90-85</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92-97</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92-87</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92-87</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60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67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TA (mg/l)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00-00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00-00</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00-1.2</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1.2-00</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TAC (mg/l)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107</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107</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76</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76</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107</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107</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107</w:t>
            </w:r>
          </w:p>
        </w:tc>
        <w:tc>
          <w:tcPr>
            <w:tcW w:w="993"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15</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18-17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42" w:type="dxa"/>
            <w:shd w:val="clear" w:color="auto" w:fill="00B0F0"/>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Na</w:t>
            </w:r>
            <w:r>
              <w:rPr>
                <w:rFonts w:asciiTheme="majorBidi" w:hAnsiTheme="majorBidi" w:cstheme="majorBidi"/>
                <w:sz w:val="20"/>
                <w:szCs w:val="20"/>
                <w:vertAlign w:val="superscript"/>
              </w:rPr>
              <w:t>+</w:t>
            </w:r>
            <w:r>
              <w:rPr>
                <w:rFonts w:asciiTheme="majorBidi" w:hAnsiTheme="majorBidi" w:cstheme="majorBidi"/>
                <w:sz w:val="20"/>
                <w:szCs w:val="20"/>
              </w:rPr>
              <w:t>+K</w:t>
            </w:r>
            <w:r>
              <w:rPr>
                <w:rFonts w:asciiTheme="majorBidi" w:hAnsiTheme="majorBidi" w:cstheme="majorBidi"/>
                <w:sz w:val="20"/>
                <w:szCs w:val="20"/>
                <w:vertAlign w:val="superscript"/>
              </w:rPr>
              <w:t>+</w:t>
            </w:r>
            <w:r>
              <w:rPr>
                <w:rFonts w:asciiTheme="majorBidi" w:hAnsiTheme="majorBidi" w:cstheme="majorBidi"/>
                <w:sz w:val="20"/>
                <w:szCs w:val="20"/>
              </w:rPr>
              <w:t xml:space="preserve"> (mg/l)</w:t>
            </w:r>
          </w:p>
        </w:tc>
        <w:tc>
          <w:tcPr>
            <w:tcW w:w="709"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265.625</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170.125</w:t>
            </w:r>
          </w:p>
        </w:tc>
        <w:tc>
          <w:tcPr>
            <w:tcW w:w="850"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179.811</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173.625</w:t>
            </w:r>
          </w:p>
        </w:tc>
        <w:tc>
          <w:tcPr>
            <w:tcW w:w="851"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162.583</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165.563</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175.676</w:t>
            </w:r>
          </w:p>
        </w:tc>
        <w:tc>
          <w:tcPr>
            <w:tcW w:w="993" w:type="dxa"/>
            <w:vAlign w:val="center"/>
          </w:tcPr>
          <w:p>
            <w:pPr>
              <w:tabs>
                <w:tab w:val="left" w:pos="1935"/>
              </w:tabs>
              <w:spacing w:after="0" w:line="360" w:lineRule="auto"/>
              <w:rPr>
                <w:rFonts w:asciiTheme="majorBidi" w:hAnsiTheme="majorBidi" w:cstheme="majorBidi"/>
                <w:sz w:val="20"/>
                <w:szCs w:val="20"/>
              </w:rPr>
            </w:pPr>
            <w:r>
              <w:rPr>
                <w:rFonts w:asciiTheme="majorBidi" w:hAnsiTheme="majorBidi" w:cstheme="majorBidi"/>
                <w:sz w:val="20"/>
                <w:szCs w:val="20"/>
              </w:rPr>
              <w:t>95.175</w:t>
            </w:r>
          </w:p>
        </w:tc>
        <w:tc>
          <w:tcPr>
            <w:tcW w:w="992" w:type="dxa"/>
            <w:vAlign w:val="center"/>
          </w:tcPr>
          <w:p>
            <w:pPr>
              <w:tabs>
                <w:tab w:val="left" w:pos="1935"/>
              </w:tabs>
              <w:spacing w:after="0" w:line="360" w:lineRule="auto"/>
              <w:jc w:val="center"/>
              <w:rPr>
                <w:rFonts w:asciiTheme="majorBidi" w:hAnsiTheme="majorBidi" w:cstheme="majorBidi"/>
                <w:sz w:val="20"/>
                <w:szCs w:val="20"/>
              </w:rPr>
            </w:pPr>
            <w:r>
              <w:rPr>
                <w:rFonts w:asciiTheme="majorBidi" w:hAnsiTheme="majorBidi" w:cstheme="majorBidi"/>
                <w:sz w:val="20"/>
                <w:szCs w:val="20"/>
              </w:rPr>
              <w:t>91.543</w:t>
            </w:r>
          </w:p>
        </w:tc>
      </w:tr>
    </w:tbl>
    <w:p>
      <w:p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a. Paramètres physique :</w:t>
      </w:r>
    </w:p>
    <w:p>
      <w:pPr>
        <w:pStyle w:val="10"/>
        <w:numPr>
          <w:ilvl w:val="0"/>
          <w:numId w:val="36"/>
        </w:numPr>
        <w:spacing w:after="0" w:line="360" w:lineRule="auto"/>
        <w:rPr>
          <w:rFonts w:eastAsia="TimesNewRomanOOEnc" w:asciiTheme="majorBidi" w:hAnsiTheme="majorBidi" w:cstheme="majorBidi"/>
          <w:b/>
          <w:bCs/>
          <w:sz w:val="24"/>
          <w:szCs w:val="24"/>
        </w:rPr>
      </w:pPr>
      <w:r>
        <w:rPr>
          <w:rFonts w:asciiTheme="majorBidi" w:hAnsiTheme="majorBidi" w:cstheme="majorBidi"/>
          <w:b/>
          <w:bCs/>
          <w:sz w:val="24"/>
          <w:szCs w:val="24"/>
        </w:rPr>
        <w:t>PH :</w:t>
      </w:r>
    </w:p>
    <w:p>
      <w:pPr>
        <w:tabs>
          <w:tab w:val="left" w:pos="1935"/>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Le ph de l’eau représente son acidité et son alcalinité. L’eau traité  du barrage kramis est caractérisé par un PH = 7.5.donnant une eau  généralement basique.</w:t>
      </w:r>
    </w:p>
    <w:p>
      <w:pPr>
        <w:pStyle w:val="10"/>
        <w:numPr>
          <w:ilvl w:val="0"/>
          <w:numId w:val="36"/>
        </w:numPr>
        <w:tabs>
          <w:tab w:val="left" w:pos="1935"/>
        </w:tabs>
        <w:spacing w:after="0" w:line="360" w:lineRule="auto"/>
        <w:rPr>
          <w:rFonts w:asciiTheme="majorBidi" w:hAnsiTheme="majorBidi" w:cstheme="majorBidi"/>
          <w:b/>
          <w:bCs/>
          <w:sz w:val="24"/>
          <w:szCs w:val="24"/>
        </w:rPr>
      </w:pPr>
      <w:r>
        <w:rPr>
          <w:rFonts w:asciiTheme="majorBidi" w:hAnsiTheme="majorBidi" w:cstheme="majorBidi"/>
          <w:b/>
          <w:bCs/>
          <w:sz w:val="24"/>
          <w:szCs w:val="24"/>
        </w:rPr>
        <w:t>Conductivité :</w:t>
      </w:r>
    </w:p>
    <w:p>
      <w:pPr>
        <w:autoSpaceDE w:val="0"/>
        <w:autoSpaceDN w:val="0"/>
        <w:adjustRightInd w:val="0"/>
        <w:spacing w:after="0" w:line="360" w:lineRule="auto"/>
        <w:rPr>
          <w:rFonts w:ascii="Times New Roman" w:hAnsi="Times New Roman" w:cs="Times New Roman"/>
          <w:sz w:val="24"/>
          <w:szCs w:val="24"/>
        </w:rPr>
      </w:pPr>
      <w:r>
        <w:rPr>
          <w:rFonts w:asciiTheme="majorBidi" w:hAnsiTheme="majorBidi" w:cstheme="majorBidi"/>
          <w:sz w:val="24"/>
          <w:szCs w:val="24"/>
        </w:rPr>
        <w:t xml:space="preserve">La conductivité de l’eau traitée  est : 2380 µs/Cm en moyenne. </w:t>
      </w:r>
      <w:r>
        <w:rPr>
          <w:rFonts w:ascii="Times New Roman" w:hAnsi="Times New Roman" w:cs="Times New Roman"/>
          <w:sz w:val="24"/>
          <w:szCs w:val="24"/>
        </w:rPr>
        <w:t>Les normes de potabilité sont  respectées.</w:t>
      </w:r>
    </w:p>
    <w:p>
      <w:pPr>
        <w:pStyle w:val="10"/>
        <w:numPr>
          <w:ilvl w:val="0"/>
          <w:numId w:val="37"/>
        </w:numPr>
        <w:tabs>
          <w:tab w:val="left" w:pos="851"/>
        </w:tabs>
        <w:spacing w:after="0" w:line="360" w:lineRule="auto"/>
        <w:ind w:hanging="1440"/>
        <w:rPr>
          <w:rFonts w:asciiTheme="majorBidi" w:hAnsiTheme="majorBidi" w:cstheme="majorBidi"/>
          <w:b/>
          <w:bCs/>
          <w:sz w:val="24"/>
          <w:szCs w:val="24"/>
        </w:rPr>
      </w:pPr>
      <w:r>
        <w:rPr>
          <w:rFonts w:asciiTheme="majorBidi" w:hAnsiTheme="majorBidi" w:cstheme="majorBidi"/>
          <w:b/>
          <w:bCs/>
          <w:sz w:val="24"/>
          <w:szCs w:val="24"/>
        </w:rPr>
        <w:t>Dureté (</w:t>
      </w:r>
      <w:r>
        <w:rPr>
          <w:sz w:val="24"/>
          <w:szCs w:val="24"/>
        </w:rPr>
        <w:t>Tableau n°22)</w:t>
      </w:r>
      <w:r>
        <w:rPr>
          <w:rFonts w:asciiTheme="majorBidi" w:hAnsiTheme="majorBidi" w:cstheme="majorBidi"/>
          <w:b/>
          <w:bCs/>
          <w:sz w:val="24"/>
          <w:szCs w:val="24"/>
        </w:rPr>
        <w:t> :</w:t>
      </w:r>
    </w:p>
    <w:p>
      <w:pPr>
        <w:tabs>
          <w:tab w:val="left" w:pos="1935"/>
        </w:tabs>
        <w:spacing w:after="0" w:line="360" w:lineRule="auto"/>
        <w:ind w:firstLine="284"/>
        <w:rPr>
          <w:rFonts w:asciiTheme="majorBidi" w:hAnsiTheme="majorBidi" w:cstheme="majorBidi"/>
          <w:b/>
          <w:bCs/>
          <w:sz w:val="24"/>
          <w:szCs w:val="24"/>
        </w:rPr>
      </w:pPr>
      <w:r>
        <w:rPr>
          <w:rFonts w:asciiTheme="majorBidi" w:hAnsiTheme="majorBidi" w:cstheme="majorBidi"/>
          <w:sz w:val="24"/>
          <w:szCs w:val="24"/>
        </w:rPr>
        <w:t xml:space="preserve">A partir du tableau n°22 les résultats de notre étude et supérieure à 54°F, ce qui donne à l’eau son caractère très dur, </w:t>
      </w:r>
      <w:r>
        <w:rPr>
          <w:rFonts w:asciiTheme="majorBidi" w:hAnsiTheme="majorBidi" w:cstheme="majorBidi"/>
          <w:b/>
          <w:bCs/>
          <w:sz w:val="24"/>
          <w:szCs w:val="24"/>
        </w:rPr>
        <w:t xml:space="preserve">TH= </w:t>
      </w:r>
      <w:r>
        <w:rPr>
          <w:rFonts w:asciiTheme="majorBidi" w:hAnsiTheme="majorBidi" w:cstheme="majorBidi"/>
          <w:sz w:val="24"/>
          <w:szCs w:val="24"/>
        </w:rPr>
        <w:t>92 à 97 °F.</w:t>
      </w:r>
    </w:p>
    <w:p>
      <w:r>
        <w:rPr>
          <w:rFonts w:asciiTheme="majorBidi" w:hAnsiTheme="majorBidi" w:cstheme="majorBidi"/>
          <w:b/>
          <w:bCs/>
          <w:sz w:val="24"/>
          <w:szCs w:val="24"/>
        </w:rPr>
        <w:t>Résidu sec :</w:t>
      </w:r>
      <w:r>
        <w:rPr>
          <w:rFonts w:asciiTheme="majorBidi" w:hAnsiTheme="majorBidi" w:cstheme="majorBidi"/>
          <w:sz w:val="24"/>
          <w:szCs w:val="24"/>
        </w:rPr>
        <w:t xml:space="preserve"> Il représente la quantité dissoute en matière minérale, les eaux brutes caractérisé par un résidu sec entre  </w:t>
      </w:r>
      <w:r>
        <w:rPr>
          <w:rFonts w:asciiTheme="majorBidi" w:hAnsiTheme="majorBidi" w:cstheme="majorBidi"/>
          <w:sz w:val="20"/>
          <w:szCs w:val="20"/>
        </w:rPr>
        <w:t>1782</w:t>
      </w:r>
      <w:r>
        <w:t xml:space="preserve"> à </w:t>
      </w:r>
      <w:r>
        <w:rPr>
          <w:rFonts w:asciiTheme="majorBidi" w:hAnsiTheme="majorBidi" w:cstheme="majorBidi"/>
          <w:sz w:val="20"/>
          <w:szCs w:val="20"/>
        </w:rPr>
        <w:t>1843</w:t>
      </w:r>
      <w:r>
        <w:t xml:space="preserve"> </w:t>
      </w:r>
      <w:r>
        <w:rPr>
          <w:rFonts w:asciiTheme="majorBidi" w:hAnsiTheme="majorBidi" w:cstheme="majorBidi"/>
          <w:sz w:val="24"/>
          <w:szCs w:val="24"/>
        </w:rPr>
        <w:t xml:space="preserve"> mg/l, Alor elle respect les normes. </w:t>
      </w:r>
    </w:p>
    <w:p>
      <w:pPr>
        <w:tabs>
          <w:tab w:val="left" w:pos="1935"/>
        </w:tabs>
        <w:spacing w:after="0" w:line="360" w:lineRule="auto"/>
        <w:rPr>
          <w:rFonts w:asciiTheme="majorBidi" w:hAnsiTheme="majorBidi" w:cstheme="majorBidi"/>
          <w:b/>
          <w:bCs/>
          <w:sz w:val="24"/>
          <w:szCs w:val="24"/>
        </w:rPr>
      </w:pPr>
      <w:r>
        <w:rPr>
          <w:rFonts w:asciiTheme="majorBidi" w:hAnsiTheme="majorBidi" w:cstheme="majorBidi"/>
          <w:b/>
          <w:bCs/>
          <w:sz w:val="24"/>
          <w:szCs w:val="24"/>
        </w:rPr>
        <w:t xml:space="preserve">b. Paramètres chimique :  </w:t>
      </w:r>
    </w:p>
    <w:p>
      <w:pPr>
        <w:pStyle w:val="10"/>
        <w:numPr>
          <w:ilvl w:val="0"/>
          <w:numId w:val="35"/>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Calcium :</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La  teneur de l’ion Ca</w:t>
      </w:r>
      <w:r>
        <w:rPr>
          <w:rFonts w:eastAsia="TimesNewRomanOOEnc" w:asciiTheme="majorBidi" w:hAnsiTheme="majorBidi" w:cstheme="majorBidi"/>
          <w:sz w:val="24"/>
          <w:szCs w:val="24"/>
          <w:vertAlign w:val="superscript"/>
        </w:rPr>
        <w:t xml:space="preserve">2 </w:t>
      </w:r>
      <w:r>
        <w:rPr>
          <w:rFonts w:eastAsia="TimesNewRomanOOEnc" w:asciiTheme="majorBidi" w:hAnsiTheme="majorBidi" w:cstheme="majorBidi"/>
          <w:sz w:val="24"/>
          <w:szCs w:val="24"/>
        </w:rPr>
        <w:t>dans les eaux traitées est comprise entre 260 mg/l et 42 mg/l, il ya un dépassement des normes de l’OMS. (Voir le tableau n°19)</w:t>
      </w:r>
    </w:p>
    <w:p>
      <w:pPr>
        <w:pStyle w:val="10"/>
        <w:numPr>
          <w:ilvl w:val="0"/>
          <w:numId w:val="35"/>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Magnésium :</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Dans notre secteur, le teneur de cet élément est comprise entre 22mg/l à 00 mg/l, ne dépassent pas Les normes de l’OMS (voir le tableau n °19)</w:t>
      </w:r>
    </w:p>
    <w:p>
      <w:pPr>
        <w:pStyle w:val="10"/>
        <w:numPr>
          <w:ilvl w:val="0"/>
          <w:numId w:val="35"/>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Sodium et Potassium :</w:t>
      </w:r>
    </w:p>
    <w:p>
      <w:pPr>
        <w:spacing w:after="0" w:line="360" w:lineRule="auto"/>
        <w:ind w:left="360"/>
        <w:rPr>
          <w:rFonts w:eastAsia="TimesNewRomanOOEnc" w:asciiTheme="majorBidi" w:hAnsiTheme="majorBidi" w:cstheme="majorBidi"/>
          <w:sz w:val="24"/>
          <w:szCs w:val="24"/>
        </w:rPr>
      </w:pPr>
      <w:r>
        <w:rPr>
          <w:rFonts w:eastAsia="TimesNewRomanOOEnc" w:asciiTheme="majorBidi" w:hAnsiTheme="majorBidi" w:cstheme="majorBidi"/>
          <w:sz w:val="24"/>
          <w:szCs w:val="24"/>
        </w:rPr>
        <w:t>Ces valeurs n’ont pas été fournies par la station de traitement mais nous avons déduit à partir du calcul fait pat la conductivité. (Comme pour l’eau brute)</w:t>
      </w:r>
    </w:p>
    <w:p>
      <w:pPr>
        <w:spacing w:after="0" w:line="360" w:lineRule="auto"/>
        <w:ind w:left="360"/>
        <w:rPr>
          <w:rFonts w:eastAsia="TimesNewRomanOOEnc" w:asciiTheme="majorBidi" w:hAnsiTheme="majorBidi" w:cstheme="majorBidi"/>
          <w:b/>
          <w:bCs/>
          <w:color w:val="FF0000"/>
          <w:sz w:val="24"/>
          <w:szCs w:val="24"/>
        </w:rPr>
      </w:pPr>
      <w:r>
        <w:rPr>
          <w:rFonts w:eastAsia="TimesNewRomanOOEnc" w:asciiTheme="majorBidi" w:hAnsiTheme="majorBidi" w:cstheme="majorBidi"/>
          <w:sz w:val="24"/>
          <w:szCs w:val="24"/>
        </w:rPr>
        <w:t xml:space="preserve">Les valeurs approximativement déduit (Na+K) donne des valeurs entre  </w:t>
      </w:r>
      <w:r>
        <w:rPr>
          <w:rFonts w:ascii="Calibri" w:hAnsi="Calibri" w:eastAsia="Times New Roman" w:cs="Calibri"/>
          <w:color w:val="000000"/>
        </w:rPr>
        <w:t xml:space="preserve">265.625 à 95.175 mg/l </w:t>
      </w:r>
      <w:r>
        <w:rPr>
          <w:rFonts w:ascii="Calibri" w:hAnsi="Calibri" w:eastAsia="Times New Roman" w:cs="Calibri"/>
        </w:rPr>
        <w:t>Alors  ne peut par dire que ces valeur  bonnes ou par a cause de l’absence l teneure de chaque un.</w:t>
      </w:r>
    </w:p>
    <w:p>
      <w:pPr>
        <w:pStyle w:val="10"/>
        <w:numPr>
          <w:ilvl w:val="0"/>
          <w:numId w:val="35"/>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Chlorure :</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 xml:space="preserve">Les teneurs en chlorures des eaux brutes sont relativement élevés entre 444.5 à 502.5 mg/l. par contre après le traitement les valeurs de chlore deviennent entre 410 à 581, nous avons remarquant que le teneure en chlore à l’entré égale la teneure à la sortie.    </w:t>
      </w:r>
      <w:r>
        <w:rPr>
          <w:rFonts w:eastAsia="TimesNewRomanOOEnc" w:asciiTheme="majorBidi" w:hAnsiTheme="majorBidi" w:cstheme="majorBidi"/>
          <w:b/>
          <w:bCs/>
          <w:color w:val="FF0000"/>
          <w:sz w:val="24"/>
          <w:szCs w:val="24"/>
        </w:rPr>
        <w:t xml:space="preserve"> </w:t>
      </w:r>
    </w:p>
    <w:p>
      <w:pPr>
        <w:pStyle w:val="10"/>
        <w:numPr>
          <w:ilvl w:val="0"/>
          <w:numId w:val="36"/>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Sulfate :</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La valeur du sulfate de l’eau traitée varie entre 32 mg/l et 36 mg/l. respectant ainsi les normes de potabilité (tableau n °20).</w:t>
      </w:r>
    </w:p>
    <w:p>
      <w:pPr>
        <w:pStyle w:val="10"/>
        <w:numPr>
          <w:ilvl w:val="0"/>
          <w:numId w:val="36"/>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Bicarbonates :</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Les concentrations des eaux analysées variant entre 107 mg/l à 15 mg/l.ces valeur sont inferieure à la norme de potabilité Algérienne fixée à 250 mg/l (tableau n °20).</w:t>
      </w:r>
    </w:p>
    <w:p>
      <w:pPr>
        <w:pStyle w:val="10"/>
        <w:numPr>
          <w:ilvl w:val="0"/>
          <w:numId w:val="36"/>
        </w:num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Nitrate :</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Dans notre cas la valeur de nitrate est entre 2.32 à 1.23  mg/l elle est respecte les normes Algérienne  (tableau n °20).</w:t>
      </w:r>
    </w:p>
    <w:p>
      <w:pPr>
        <w:spacing w:after="0" w:line="360" w:lineRule="auto"/>
        <w:rPr>
          <w:rFonts w:eastAsia="TimesNewRomanOOEnc" w:asciiTheme="majorBidi" w:hAnsiTheme="majorBidi" w:cstheme="majorBidi"/>
          <w:sz w:val="24"/>
          <w:szCs w:val="24"/>
        </w:rPr>
      </w:pPr>
    </w:p>
    <w:p>
      <w:pPr>
        <w:spacing w:after="0" w:line="360" w:lineRule="auto"/>
        <w:rPr>
          <w:rFonts w:eastAsia="TimesNewRomanOOEnc" w:asciiTheme="majorBidi" w:hAnsiTheme="majorBidi" w:cstheme="majorBidi"/>
          <w:sz w:val="24"/>
          <w:szCs w:val="24"/>
        </w:rPr>
      </w:pPr>
    </w:p>
    <w:p>
      <w:pPr>
        <w:spacing w:after="0" w:line="360" w:lineRule="auto"/>
        <w:rPr>
          <w:rFonts w:eastAsia="TimesNewRomanOOEnc" w:asciiTheme="majorBidi" w:hAnsiTheme="majorBidi" w:cstheme="majorBidi"/>
          <w:sz w:val="24"/>
          <w:szCs w:val="24"/>
        </w:rPr>
      </w:pPr>
    </w:p>
    <w:p>
      <w:pPr>
        <w:spacing w:after="0" w:line="360" w:lineRule="auto"/>
        <w:rPr>
          <w:rFonts w:eastAsia="TimesNewRomanOOEnc" w:asciiTheme="majorBidi" w:hAnsiTheme="majorBidi" w:cstheme="majorBidi"/>
          <w:sz w:val="24"/>
          <w:szCs w:val="24"/>
        </w:rPr>
      </w:pPr>
    </w:p>
    <w:p>
      <w:pPr>
        <w:spacing w:after="0" w:line="360" w:lineRule="auto"/>
        <w:rPr>
          <w:rFonts w:eastAsia="TimesNewRomanOOEnc" w:asciiTheme="majorBidi" w:hAnsiTheme="majorBidi" w:cstheme="majorBidi"/>
          <w:sz w:val="24"/>
          <w:szCs w:val="24"/>
        </w:rPr>
      </w:pPr>
    </w:p>
    <w:p>
      <w:pPr>
        <w:spacing w:after="0" w:line="360" w:lineRule="auto"/>
        <w:rPr>
          <w:rFonts w:eastAsia="TimesNewRomanOOEnc" w:asciiTheme="majorBidi" w:hAnsiTheme="majorBidi" w:cstheme="majorBidi"/>
          <w:sz w:val="24"/>
          <w:szCs w:val="24"/>
        </w:rPr>
      </w:pPr>
    </w:p>
    <w:p>
      <w:pPr>
        <w:spacing w:after="0" w:line="360" w:lineRule="auto"/>
        <w:rPr>
          <w:rFonts w:eastAsia="TimesNewRomanOOEnc" w:asciiTheme="majorBidi" w:hAnsiTheme="majorBidi" w:cstheme="majorBidi"/>
          <w:sz w:val="24"/>
          <w:szCs w:val="24"/>
        </w:rPr>
      </w:pPr>
    </w:p>
    <w:p>
      <w:pPr>
        <w:pStyle w:val="10"/>
        <w:numPr>
          <w:ilvl w:val="0"/>
          <w:numId w:val="36"/>
        </w:numPr>
        <w:autoSpaceDE w:val="0"/>
        <w:autoSpaceDN w:val="0"/>
        <w:adjustRightInd w:val="0"/>
        <w:spacing w:after="0" w:line="360" w:lineRule="auto"/>
        <w:rPr>
          <w:rFonts w:ascii="Times New Roman" w:hAnsi="Times New Roman" w:cs="Times New Roman"/>
          <w:b/>
          <w:bCs/>
          <w:sz w:val="24"/>
          <w:szCs w:val="24"/>
        </w:rPr>
      </w:pPr>
      <w:r>
        <w:rPr>
          <w:rFonts w:ascii="Times New Roman" w:hAnsi="Times New Roman" w:cs="Times New Roman"/>
          <w:b/>
          <w:bCs/>
          <w:sz w:val="24"/>
          <w:szCs w:val="24"/>
        </w:rPr>
        <w:t>Classification des eaux selon Schoeller-Berkaloff :</w:t>
      </w:r>
    </w:p>
    <w:p>
      <w:pPr>
        <w:tabs>
          <w:tab w:val="left" w:pos="1935"/>
        </w:tabs>
        <w:spacing w:after="0" w:line="360" w:lineRule="auto"/>
        <w:jc w:val="center"/>
        <w:rPr>
          <w:rFonts w:asciiTheme="majorBidi" w:hAnsiTheme="majorBidi" w:cstheme="majorBidi"/>
          <w:b/>
          <w:bCs/>
          <w:sz w:val="24"/>
          <w:szCs w:val="24"/>
        </w:rPr>
      </w:pPr>
      <w:r>
        <w:rPr>
          <w:rFonts w:asciiTheme="majorBidi" w:hAnsiTheme="majorBidi" w:cstheme="majorBidi"/>
          <w:b/>
          <w:bCs/>
          <w:sz w:val="24"/>
          <w:szCs w:val="24"/>
        </w:rPr>
        <w:drawing>
          <wp:inline distT="0" distB="0" distL="0" distR="0">
            <wp:extent cx="5334000" cy="6667500"/>
            <wp:effectExtent l="53975" t="53975" r="111125" b="111125"/>
            <wp:docPr id="51" name="Image 1" descr="C:\Users\belaribi med\Desktop\image\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1" descr="C:\Users\belaribi med\Desktop\image\jj.png"/>
                    <pic:cNvPicPr>
                      <a:picLocks noChangeAspect="1" noChangeArrowheads="1"/>
                    </pic:cNvPicPr>
                  </pic:nvPicPr>
                  <pic:blipFill>
                    <a:blip r:embed="rId55"/>
                    <a:srcRect r="12226" b="8016"/>
                    <a:stretch>
                      <a:fillRect/>
                    </a:stretch>
                  </pic:blipFill>
                  <pic:spPr>
                    <a:xfrm>
                      <a:off x="0" y="0"/>
                      <a:ext cx="5334000" cy="66675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tabs>
          <w:tab w:val="left" w:pos="1935"/>
        </w:tabs>
        <w:spacing w:after="0" w:line="360" w:lineRule="auto"/>
        <w:rPr>
          <w:rFonts w:asciiTheme="majorBidi" w:hAnsiTheme="majorBidi" w:cstheme="majorBidi"/>
          <w:b/>
          <w:bCs/>
          <w:sz w:val="24"/>
          <w:szCs w:val="24"/>
        </w:rPr>
      </w:pPr>
    </w:p>
    <w:p>
      <w:pPr>
        <w:tabs>
          <w:tab w:val="left" w:pos="1935"/>
        </w:tabs>
        <w:spacing w:after="0" w:line="360" w:lineRule="auto"/>
        <w:jc w:val="center"/>
        <w:rPr>
          <w:rFonts w:asciiTheme="majorBidi" w:hAnsiTheme="majorBidi" w:cstheme="majorBidi"/>
          <w:sz w:val="24"/>
          <w:szCs w:val="24"/>
        </w:rPr>
      </w:pPr>
      <w:r>
        <w:rPr>
          <w:rFonts w:asciiTheme="majorBidi" w:hAnsiTheme="majorBidi" w:cstheme="majorBidi"/>
          <w:sz w:val="24"/>
          <w:szCs w:val="24"/>
        </w:rPr>
        <w:t>Fig n°47 : Diagramme de Shoeller-Berkaloff  pour les eaux traitées.</w:t>
      </w:r>
    </w:p>
    <w:p>
      <w:pPr>
        <w:autoSpaceDE w:val="0"/>
        <w:autoSpaceDN w:val="0"/>
        <w:adjustRightInd w:val="0"/>
        <w:spacing w:after="0" w:line="360" w:lineRule="auto"/>
        <w:rPr>
          <w:rFonts w:asciiTheme="majorBidi" w:hAnsiTheme="majorBidi" w:cstheme="majorBidi"/>
          <w:sz w:val="24"/>
          <w:szCs w:val="24"/>
        </w:rPr>
      </w:pPr>
      <w:r>
        <w:rPr>
          <w:rFonts w:asciiTheme="majorBidi" w:hAnsiTheme="majorBidi" w:cstheme="majorBidi"/>
          <w:sz w:val="24"/>
          <w:szCs w:val="24"/>
        </w:rPr>
        <w:t>Le rapport des résultats des analyses chimiques sur ce diagramme a permis de caractériser le faciès des eaux du barrage d’oued kramis pondant 10 mois année 2015 :</w:t>
      </w:r>
    </w:p>
    <w:p>
      <w:pPr>
        <w:tabs>
          <w:tab w:val="left" w:pos="1935"/>
        </w:tabs>
        <w:spacing w:after="0" w:line="360" w:lineRule="auto"/>
        <w:rPr>
          <w:rFonts w:asciiTheme="majorBidi" w:hAnsiTheme="majorBidi" w:cstheme="majorBidi"/>
          <w:sz w:val="24"/>
          <w:szCs w:val="24"/>
        </w:rPr>
      </w:pPr>
      <w:r>
        <w:rPr>
          <w:rFonts w:asciiTheme="majorBidi" w:hAnsiTheme="majorBidi" w:cstheme="majorBidi"/>
          <w:sz w:val="24"/>
          <w:szCs w:val="24"/>
        </w:rPr>
        <w:t>- Chloruré-magnésienne pour le mois de Janvier.</w:t>
      </w:r>
    </w:p>
    <w:p>
      <w:pPr>
        <w:tabs>
          <w:tab w:val="left" w:pos="1935"/>
        </w:tabs>
        <w:spacing w:after="0" w:line="360" w:lineRule="auto"/>
        <w:rPr>
          <w:rFonts w:asciiTheme="majorBidi" w:hAnsiTheme="majorBidi" w:cstheme="majorBidi"/>
          <w:sz w:val="24"/>
          <w:szCs w:val="24"/>
        </w:rPr>
      </w:pPr>
      <w:r>
        <w:rPr>
          <w:rFonts w:asciiTheme="majorBidi" w:hAnsiTheme="majorBidi" w:cstheme="majorBidi"/>
          <w:sz w:val="24"/>
          <w:szCs w:val="24"/>
        </w:rPr>
        <w:t xml:space="preserve">-  Chloruré- calcique pour les mois restants. </w:t>
      </w:r>
    </w:p>
    <w:p>
      <w:pPr>
        <w:tabs>
          <w:tab w:val="left" w:pos="1935"/>
        </w:tabs>
        <w:spacing w:after="0" w:line="360" w:lineRule="auto"/>
        <w:rPr>
          <w:rFonts w:ascii="Times New Roman" w:hAnsi="Times New Roman" w:cs="Times New Roman"/>
          <w:b/>
          <w:bCs/>
          <w:sz w:val="24"/>
          <w:szCs w:val="24"/>
        </w:rPr>
      </w:pPr>
    </w:p>
    <w:p>
      <w:pPr>
        <w:pStyle w:val="10"/>
        <w:numPr>
          <w:ilvl w:val="0"/>
          <w:numId w:val="36"/>
        </w:numPr>
        <w:tabs>
          <w:tab w:val="left" w:pos="1935"/>
        </w:tabs>
        <w:spacing w:after="0" w:line="360" w:lineRule="auto"/>
        <w:rPr>
          <w:rFonts w:asciiTheme="majorBidi" w:hAnsiTheme="majorBidi" w:cstheme="majorBidi"/>
          <w:sz w:val="24"/>
          <w:szCs w:val="24"/>
        </w:rPr>
      </w:pPr>
      <w:r>
        <w:rPr>
          <w:rFonts w:ascii="Times New Roman" w:hAnsi="Times New Roman" w:cs="Times New Roman"/>
          <w:b/>
          <w:bCs/>
          <w:sz w:val="24"/>
          <w:szCs w:val="24"/>
        </w:rPr>
        <w:t xml:space="preserve">Qualité des eaux traitées:  </w:t>
      </w:r>
    </w:p>
    <w:p>
      <w:pPr>
        <w:pStyle w:val="10"/>
        <w:tabs>
          <w:tab w:val="left" w:pos="1935"/>
        </w:tabs>
        <w:spacing w:after="0" w:line="360" w:lineRule="auto"/>
        <w:ind w:left="0"/>
        <w:jc w:val="center"/>
        <w:rPr>
          <w:rFonts w:asciiTheme="majorBidi" w:hAnsiTheme="majorBidi" w:cstheme="majorBidi"/>
          <w:sz w:val="24"/>
          <w:szCs w:val="24"/>
        </w:rPr>
      </w:pPr>
      <w:r>
        <w:rPr>
          <w:rFonts w:ascii="Times New Roman" w:hAnsi="Times New Roman" w:cs="Times New Roman"/>
          <w:sz w:val="24"/>
          <w:szCs w:val="24"/>
        </w:rPr>
        <w:t>Tableaux n°26 : potabilité des eaux traitées</w:t>
      </w:r>
    </w:p>
    <w:tbl>
      <w:tblPr>
        <w:tblStyle w:val="8"/>
        <w:tblW w:w="10065" w:type="dxa"/>
        <w:tblInd w:w="-497" w:type="dxa"/>
        <w:tblLayout w:type="autofit"/>
        <w:tblCellMar>
          <w:top w:w="0" w:type="dxa"/>
          <w:left w:w="70" w:type="dxa"/>
          <w:bottom w:w="0" w:type="dxa"/>
          <w:right w:w="70" w:type="dxa"/>
        </w:tblCellMar>
      </w:tblPr>
      <w:tblGrid>
        <w:gridCol w:w="947"/>
        <w:gridCol w:w="947"/>
        <w:gridCol w:w="946"/>
        <w:gridCol w:w="947"/>
        <w:gridCol w:w="947"/>
        <w:gridCol w:w="947"/>
        <w:gridCol w:w="947"/>
        <w:gridCol w:w="739"/>
        <w:gridCol w:w="1152"/>
        <w:gridCol w:w="1546"/>
      </w:tblGrid>
      <w:tr>
        <w:tblPrEx>
          <w:tblCellMar>
            <w:top w:w="0" w:type="dxa"/>
            <w:left w:w="70" w:type="dxa"/>
            <w:bottom w:w="0" w:type="dxa"/>
            <w:right w:w="70" w:type="dxa"/>
          </w:tblCellMar>
        </w:tblPrEx>
        <w:trPr>
          <w:trHeight w:val="558" w:hRule="atLeast"/>
        </w:trPr>
        <w:tc>
          <w:tcPr>
            <w:tcW w:w="947" w:type="dxa"/>
            <w:tcBorders>
              <w:top w:val="single" w:color="auto" w:sz="4" w:space="0"/>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p>
        </w:tc>
        <w:tc>
          <w:tcPr>
            <w:tcW w:w="947" w:type="dxa"/>
            <w:tcBorders>
              <w:top w:val="single" w:color="auto" w:sz="4" w:space="0"/>
              <w:left w:val="nil"/>
              <w:bottom w:val="single" w:color="auto" w:sz="4" w:space="0"/>
              <w:right w:val="single" w:color="auto" w:sz="4" w:space="0"/>
            </w:tcBorders>
            <w:shd w:val="clear" w:color="auto" w:fill="auto"/>
            <w:noWrap/>
            <w:vAlign w:val="center"/>
          </w:tcPr>
          <w:p>
            <w:pPr>
              <w:tabs>
                <w:tab w:val="left" w:pos="1935"/>
              </w:tabs>
              <w:spacing w:line="240" w:lineRule="auto"/>
              <w:jc w:val="center"/>
              <w:rPr>
                <w:rFonts w:asciiTheme="majorBidi" w:hAnsiTheme="majorBidi" w:cstheme="majorBidi"/>
                <w:sz w:val="24"/>
                <w:szCs w:val="24"/>
                <w:vertAlign w:val="superscript"/>
              </w:rPr>
            </w:pPr>
            <w:r>
              <w:rPr>
                <w:rFonts w:asciiTheme="majorBidi" w:hAnsiTheme="majorBidi" w:cstheme="majorBidi"/>
                <w:sz w:val="24"/>
                <w:szCs w:val="24"/>
              </w:rPr>
              <w:t>NO</w:t>
            </w:r>
            <w:r>
              <w:rPr>
                <w:rFonts w:asciiTheme="majorBidi" w:hAnsiTheme="majorBidi" w:cstheme="majorBidi"/>
                <w:sz w:val="24"/>
                <w:szCs w:val="24"/>
                <w:vertAlign w:val="subscript"/>
              </w:rPr>
              <w:t>3</w:t>
            </w:r>
            <w:r>
              <w:rPr>
                <w:rFonts w:asciiTheme="majorBidi" w:hAnsiTheme="majorBidi" w:cstheme="majorBidi"/>
                <w:sz w:val="24"/>
                <w:szCs w:val="24"/>
                <w:vertAlign w:val="superscript"/>
              </w:rPr>
              <w:t xml:space="preserve"> </w:t>
            </w:r>
            <w:r>
              <w:rPr>
                <w:rFonts w:asciiTheme="majorBidi" w:hAnsiTheme="majorBidi" w:cstheme="majorBidi"/>
                <w:sz w:val="24"/>
                <w:szCs w:val="24"/>
              </w:rPr>
              <w:t xml:space="preserve">  (mg/l)</w:t>
            </w:r>
          </w:p>
        </w:tc>
        <w:tc>
          <w:tcPr>
            <w:tcW w:w="946" w:type="dxa"/>
            <w:tcBorders>
              <w:top w:val="single" w:color="auto" w:sz="4" w:space="0"/>
              <w:left w:val="nil"/>
              <w:bottom w:val="single" w:color="auto" w:sz="4" w:space="0"/>
              <w:right w:val="single" w:color="auto" w:sz="4" w:space="0"/>
            </w:tcBorders>
            <w:shd w:val="clear" w:color="auto" w:fill="auto"/>
            <w:noWrap/>
            <w:vAlign w:val="center"/>
          </w:tcPr>
          <w:p>
            <w:pPr>
              <w:tabs>
                <w:tab w:val="left" w:pos="1935"/>
              </w:tabs>
              <w:spacing w:line="240" w:lineRule="auto"/>
              <w:jc w:val="center"/>
              <w:rPr>
                <w:rFonts w:asciiTheme="majorBidi" w:hAnsiTheme="majorBidi" w:cstheme="majorBidi"/>
                <w:sz w:val="24"/>
                <w:szCs w:val="24"/>
                <w:vertAlign w:val="superscript"/>
              </w:rPr>
            </w:pPr>
            <w:r>
              <w:rPr>
                <w:rFonts w:asciiTheme="majorBidi" w:hAnsiTheme="majorBidi" w:cstheme="majorBidi"/>
                <w:sz w:val="24"/>
                <w:szCs w:val="24"/>
              </w:rPr>
              <w:t>SO</w:t>
            </w:r>
            <w:r>
              <w:rPr>
                <w:rFonts w:asciiTheme="majorBidi" w:hAnsiTheme="majorBidi" w:cstheme="majorBidi"/>
                <w:sz w:val="24"/>
                <w:szCs w:val="24"/>
                <w:vertAlign w:val="subscript"/>
              </w:rPr>
              <w:t>4</w:t>
            </w:r>
            <w:r>
              <w:rPr>
                <w:rFonts w:asciiTheme="majorBidi" w:hAnsiTheme="majorBidi" w:cstheme="majorBidi"/>
                <w:sz w:val="24"/>
                <w:szCs w:val="24"/>
                <w:vertAlign w:val="superscript"/>
              </w:rPr>
              <w:t xml:space="preserve">2 </w:t>
            </w:r>
            <w:r>
              <w:rPr>
                <w:rFonts w:asciiTheme="majorBidi" w:hAnsiTheme="majorBidi" w:cstheme="majorBidi"/>
                <w:sz w:val="24"/>
                <w:szCs w:val="24"/>
              </w:rPr>
              <w:t xml:space="preserve"> (mg/l)</w:t>
            </w:r>
          </w:p>
        </w:tc>
        <w:tc>
          <w:tcPr>
            <w:tcW w:w="947" w:type="dxa"/>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Cl</w:t>
            </w:r>
            <w:r>
              <w:rPr>
                <w:rFonts w:ascii="Times New Roman" w:hAnsi="Times New Roman" w:eastAsia="Times New Roman" w:cs="Times New Roman"/>
                <w:color w:val="000000"/>
                <w:sz w:val="24"/>
                <w:szCs w:val="24"/>
                <w:vertAlign w:val="superscript"/>
              </w:rPr>
              <w:t>-</w:t>
            </w:r>
            <w:r>
              <w:rPr>
                <w:rFonts w:ascii="Times New Roman" w:hAnsi="Times New Roman" w:eastAsia="Times New Roman" w:cs="Times New Roman"/>
                <w:color w:val="000000"/>
                <w:sz w:val="24"/>
                <w:szCs w:val="24"/>
              </w:rPr>
              <w:t>(mg/l)</w:t>
            </w:r>
          </w:p>
        </w:tc>
        <w:tc>
          <w:tcPr>
            <w:tcW w:w="947" w:type="dxa"/>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Ca</w:t>
            </w:r>
            <w:r>
              <w:rPr>
                <w:rFonts w:ascii="Times New Roman" w:hAnsi="Times New Roman" w:eastAsia="Times New Roman" w:cs="Times New Roman"/>
                <w:color w:val="000000"/>
                <w:sz w:val="24"/>
                <w:szCs w:val="24"/>
                <w:vertAlign w:val="superscript"/>
              </w:rPr>
              <w:t xml:space="preserve">2+ </w:t>
            </w:r>
            <w:r>
              <w:rPr>
                <w:rFonts w:ascii="Times New Roman" w:hAnsi="Times New Roman" w:eastAsia="Times New Roman" w:cs="Times New Roman"/>
                <w:color w:val="000000"/>
                <w:sz w:val="24"/>
                <w:szCs w:val="24"/>
              </w:rPr>
              <w:t>(mg/l)</w:t>
            </w:r>
          </w:p>
        </w:tc>
        <w:tc>
          <w:tcPr>
            <w:tcW w:w="947" w:type="dxa"/>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Mg</w:t>
            </w:r>
            <w:r>
              <w:rPr>
                <w:rFonts w:ascii="Times New Roman" w:hAnsi="Times New Roman" w:eastAsia="Times New Roman" w:cs="Times New Roman"/>
                <w:color w:val="000000"/>
                <w:sz w:val="24"/>
                <w:szCs w:val="24"/>
                <w:vertAlign w:val="superscript"/>
              </w:rPr>
              <w:t xml:space="preserve">2+ </w:t>
            </w:r>
            <w:r>
              <w:rPr>
                <w:rFonts w:ascii="Times New Roman" w:hAnsi="Times New Roman" w:eastAsia="Times New Roman" w:cs="Times New Roman"/>
                <w:color w:val="000000"/>
                <w:sz w:val="24"/>
                <w:szCs w:val="24"/>
              </w:rPr>
              <w:t>(mg/l)</w:t>
            </w:r>
          </w:p>
        </w:tc>
        <w:tc>
          <w:tcPr>
            <w:tcW w:w="947" w:type="dxa"/>
            <w:tcBorders>
              <w:top w:val="single" w:color="auto" w:sz="4" w:space="0"/>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sz w:val="24"/>
                <w:szCs w:val="24"/>
                <w:vertAlign w:val="superscript"/>
              </w:rPr>
            </w:pPr>
            <w:r>
              <w:rPr>
                <w:rFonts w:ascii="Calibri" w:hAnsi="Calibri" w:eastAsia="Times New Roman" w:cs="Calibri"/>
                <w:color w:val="000000"/>
                <w:sz w:val="24"/>
                <w:szCs w:val="24"/>
              </w:rPr>
              <w:t>Na</w:t>
            </w:r>
            <w:r>
              <w:rPr>
                <w:rFonts w:ascii="Calibri" w:hAnsi="Calibri" w:eastAsia="Times New Roman" w:cs="Calibri"/>
                <w:color w:val="000000"/>
                <w:sz w:val="24"/>
                <w:szCs w:val="24"/>
                <w:vertAlign w:val="superscript"/>
              </w:rPr>
              <w:t>+</w:t>
            </w:r>
            <w:r>
              <w:rPr>
                <w:rFonts w:ascii="Calibri" w:hAnsi="Calibri" w:eastAsia="Times New Roman" w:cs="Calibri"/>
                <w:color w:val="000000"/>
                <w:sz w:val="24"/>
                <w:szCs w:val="24"/>
              </w:rPr>
              <w:t>+K</w:t>
            </w:r>
            <w:r>
              <w:rPr>
                <w:rFonts w:ascii="Calibri" w:hAnsi="Calibri" w:eastAsia="Times New Roman" w:cs="Calibri"/>
                <w:color w:val="000000"/>
                <w:sz w:val="24"/>
                <w:szCs w:val="24"/>
                <w:vertAlign w:val="superscript"/>
              </w:rPr>
              <w:t>+</w:t>
            </w:r>
          </w:p>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(mg/l)</w:t>
            </w:r>
          </w:p>
        </w:tc>
        <w:tc>
          <w:tcPr>
            <w:tcW w:w="739" w:type="dxa"/>
            <w:tcBorders>
              <w:top w:val="single" w:color="auto" w:sz="4" w:space="0"/>
              <w:left w:val="nil"/>
              <w:bottom w:val="single" w:color="auto" w:sz="4" w:space="0"/>
              <w:right w:val="single" w:color="auto" w:sz="4" w:space="0"/>
            </w:tcBorders>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R.S</w:t>
            </w:r>
          </w:p>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(mg/l)</w:t>
            </w:r>
          </w:p>
        </w:tc>
        <w:tc>
          <w:tcPr>
            <w:tcW w:w="1152" w:type="dxa"/>
            <w:tcBorders>
              <w:top w:val="single" w:color="auto" w:sz="4" w:space="0"/>
              <w:left w:val="nil"/>
              <w:bottom w:val="single" w:color="auto" w:sz="4" w:space="0"/>
              <w:right w:val="single" w:color="auto" w:sz="4" w:space="0"/>
            </w:tcBorders>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 xml:space="preserve">Remarque </w:t>
            </w:r>
          </w:p>
        </w:tc>
        <w:tc>
          <w:tcPr>
            <w:tcW w:w="1546" w:type="dxa"/>
            <w:vMerge w:val="restart"/>
            <w:tcBorders>
              <w:top w:val="single" w:color="auto" w:sz="4" w:space="0"/>
              <w:left w:val="nil"/>
              <w:right w:val="single" w:color="auto" w:sz="4" w:space="0"/>
            </w:tcBorders>
          </w:tcPr>
          <w:p>
            <w:pPr>
              <w:spacing w:after="0" w:line="240" w:lineRule="auto"/>
              <w:jc w:val="center"/>
              <w:rPr>
                <w:rFonts w:ascii="Times New Roman" w:hAnsi="Times New Roman" w:cs="Times New Roman"/>
                <w:sz w:val="24"/>
                <w:szCs w:val="24"/>
              </w:rPr>
            </w:pPr>
          </w:p>
          <w:p>
            <w:pPr>
              <w:spacing w:after="0" w:line="240" w:lineRule="auto"/>
              <w:jc w:val="center"/>
              <w:rPr>
                <w:rFonts w:ascii="Calibri" w:hAnsi="Calibri" w:eastAsia="Times New Roman" w:cs="Calibri"/>
                <w:color w:val="000000"/>
                <w:sz w:val="24"/>
                <w:szCs w:val="24"/>
              </w:rPr>
            </w:pPr>
            <w:r>
              <w:rPr>
                <w:rFonts w:ascii="Times New Roman" w:hAnsi="Times New Roman" w:cs="Times New Roman"/>
                <w:sz w:val="24"/>
                <w:szCs w:val="24"/>
              </w:rPr>
              <w:t xml:space="preserve">Faciès chimique </w:t>
            </w:r>
            <w:r>
              <w:rPr>
                <w:rFonts w:asciiTheme="majorBidi" w:hAnsiTheme="majorBidi" w:cstheme="majorBidi"/>
                <w:b/>
                <w:bCs/>
                <w:sz w:val="18"/>
                <w:szCs w:val="18"/>
              </w:rPr>
              <w:t xml:space="preserve"> </w:t>
            </w:r>
          </w:p>
        </w:tc>
      </w:tr>
      <w:tr>
        <w:tblPrEx>
          <w:tblCellMar>
            <w:top w:w="0" w:type="dxa"/>
            <w:left w:w="70" w:type="dxa"/>
            <w:bottom w:w="0" w:type="dxa"/>
            <w:right w:w="70" w:type="dxa"/>
          </w:tblCellMar>
        </w:tblPrEx>
        <w:trPr>
          <w:trHeight w:val="558" w:hRule="atLeast"/>
        </w:trPr>
        <w:tc>
          <w:tcPr>
            <w:tcW w:w="947" w:type="dxa"/>
            <w:tcBorders>
              <w:top w:val="single" w:color="auto" w:sz="4" w:space="0"/>
              <w:left w:val="single" w:color="auto" w:sz="4" w:space="0"/>
              <w:bottom w:val="single" w:color="auto" w:sz="4" w:space="0"/>
              <w:right w:val="single" w:color="auto" w:sz="4" w:space="0"/>
            </w:tcBorders>
            <w:shd w:val="clear" w:color="auto" w:fill="92D050"/>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Nom</w:t>
            </w:r>
          </w:p>
        </w:tc>
        <w:tc>
          <w:tcPr>
            <w:tcW w:w="947"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50</w:t>
            </w:r>
          </w:p>
        </w:tc>
        <w:tc>
          <w:tcPr>
            <w:tcW w:w="946"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400</w:t>
            </w:r>
          </w:p>
        </w:tc>
        <w:tc>
          <w:tcPr>
            <w:tcW w:w="947"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600</w:t>
            </w:r>
          </w:p>
        </w:tc>
        <w:tc>
          <w:tcPr>
            <w:tcW w:w="947"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200</w:t>
            </w:r>
          </w:p>
        </w:tc>
        <w:tc>
          <w:tcPr>
            <w:tcW w:w="947"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150</w:t>
            </w:r>
          </w:p>
        </w:tc>
        <w:tc>
          <w:tcPr>
            <w:tcW w:w="947" w:type="dxa"/>
            <w:tcBorders>
              <w:top w:val="single" w:color="auto" w:sz="4" w:space="0"/>
              <w:left w:val="nil"/>
              <w:bottom w:val="single" w:color="auto" w:sz="4" w:space="0"/>
              <w:right w:val="single" w:color="auto" w:sz="4" w:space="0"/>
            </w:tcBorders>
            <w:shd w:val="clear" w:color="auto" w:fill="92D050"/>
            <w:noWrap/>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250</w:t>
            </w:r>
          </w:p>
        </w:tc>
        <w:tc>
          <w:tcPr>
            <w:tcW w:w="739" w:type="dxa"/>
            <w:tcBorders>
              <w:top w:val="single" w:color="auto" w:sz="4" w:space="0"/>
              <w:left w:val="nil"/>
              <w:bottom w:val="single" w:color="auto" w:sz="4" w:space="0"/>
              <w:right w:val="single" w:color="auto" w:sz="4" w:space="0"/>
            </w:tcBorders>
            <w:shd w:val="clear" w:color="auto" w:fill="92D050"/>
            <w:vAlign w:val="center"/>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2000</w:t>
            </w:r>
          </w:p>
        </w:tc>
        <w:tc>
          <w:tcPr>
            <w:tcW w:w="1152" w:type="dxa"/>
            <w:tcBorders>
              <w:top w:val="single" w:color="auto" w:sz="4" w:space="0"/>
              <w:left w:val="nil"/>
              <w:bottom w:val="single" w:color="auto" w:sz="4" w:space="0"/>
              <w:right w:val="single" w:color="auto" w:sz="4" w:space="0"/>
            </w:tcBorders>
            <w:shd w:val="clear" w:color="auto" w:fill="92D050"/>
          </w:tcPr>
          <w:p>
            <w:pPr>
              <w:spacing w:after="0" w:line="240" w:lineRule="auto"/>
              <w:jc w:val="center"/>
              <w:rPr>
                <w:rFonts w:ascii="Calibri" w:hAnsi="Calibri" w:eastAsia="Times New Roman" w:cs="Calibri"/>
                <w:color w:val="000000"/>
                <w:sz w:val="24"/>
                <w:szCs w:val="24"/>
              </w:rPr>
            </w:pPr>
            <w:r>
              <w:rPr>
                <w:rFonts w:ascii="Calibri" w:hAnsi="Calibri" w:eastAsia="Times New Roman" w:cs="Calibri"/>
                <w:color w:val="000000"/>
                <w:sz w:val="24"/>
                <w:szCs w:val="24"/>
              </w:rPr>
              <w:t xml:space="preserve">Potable </w:t>
            </w:r>
          </w:p>
        </w:tc>
        <w:tc>
          <w:tcPr>
            <w:tcW w:w="1546" w:type="dxa"/>
            <w:vMerge w:val="continue"/>
            <w:tcBorders>
              <w:left w:val="nil"/>
              <w:bottom w:val="single" w:color="auto" w:sz="4" w:space="0"/>
              <w:right w:val="single" w:color="auto" w:sz="4" w:space="0"/>
            </w:tcBorders>
            <w:shd w:val="clear" w:color="auto" w:fill="auto"/>
          </w:tcPr>
          <w:p>
            <w:pPr>
              <w:spacing w:after="0" w:line="240" w:lineRule="auto"/>
              <w:jc w:val="center"/>
            </w:pPr>
          </w:p>
        </w:tc>
      </w:tr>
      <w:tr>
        <w:tblPrEx>
          <w:tblCellMar>
            <w:top w:w="0" w:type="dxa"/>
            <w:left w:w="70" w:type="dxa"/>
            <w:bottom w:w="0" w:type="dxa"/>
            <w:right w:w="70" w:type="dxa"/>
          </w:tblCellMar>
        </w:tblPrEx>
        <w:trPr>
          <w:trHeight w:val="434" w:hRule="atLeast"/>
        </w:trPr>
        <w:tc>
          <w:tcPr>
            <w:tcW w:w="947"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1.23</w:t>
            </w:r>
          </w:p>
        </w:tc>
        <w:tc>
          <w:tcPr>
            <w:tcW w:w="946"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444.5</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160</w:t>
            </w:r>
          </w:p>
        </w:tc>
        <w:tc>
          <w:tcPr>
            <w:tcW w:w="94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w:t>
            </w:r>
          </w:p>
        </w:tc>
        <w:tc>
          <w:tcPr>
            <w:tcW w:w="947" w:type="dxa"/>
            <w:tcBorders>
              <w:top w:val="nil"/>
              <w:left w:val="nil"/>
              <w:bottom w:val="single" w:color="auto" w:sz="4" w:space="0"/>
              <w:right w:val="single" w:color="auto" w:sz="4" w:space="0"/>
            </w:tcBorders>
            <w:shd w:val="clear" w:color="auto" w:fill="FFFF00"/>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265.625</w:t>
            </w:r>
          </w:p>
        </w:tc>
        <w:tc>
          <w:tcPr>
            <w:tcW w:w="739"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1782</w:t>
            </w:r>
          </w:p>
        </w:tc>
        <w:tc>
          <w:tcPr>
            <w:tcW w:w="1152" w:type="dxa"/>
            <w:tcBorders>
              <w:top w:val="nil"/>
              <w:left w:val="nil"/>
              <w:bottom w:val="single" w:color="auto" w:sz="4" w:space="0"/>
              <w:right w:val="single" w:color="auto" w:sz="4" w:space="0"/>
            </w:tcBorders>
            <w:shd w:val="clear" w:color="auto" w:fill="FFFF00"/>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Non potable</w:t>
            </w:r>
          </w:p>
        </w:tc>
        <w:tc>
          <w:tcPr>
            <w:tcW w:w="1546" w:type="dxa"/>
            <w:tcBorders>
              <w:top w:val="nil"/>
              <w:left w:val="nil"/>
              <w:bottom w:val="single" w:color="auto" w:sz="4" w:space="0"/>
              <w:right w:val="single" w:color="auto" w:sz="4" w:space="0"/>
            </w:tcBorders>
          </w:tcPr>
          <w:p>
            <w:pPr>
              <w:spacing w:after="0" w:line="240" w:lineRule="auto"/>
              <w:jc w:val="center"/>
            </w:pPr>
            <w:r>
              <w:t xml:space="preserve">Chloruré-magnésienne </w:t>
            </w:r>
          </w:p>
        </w:tc>
      </w:tr>
      <w:tr>
        <w:tblPrEx>
          <w:tblCellMar>
            <w:top w:w="0" w:type="dxa"/>
            <w:left w:w="70" w:type="dxa"/>
            <w:bottom w:w="0" w:type="dxa"/>
            <w:right w:w="70" w:type="dxa"/>
          </w:tblCellMar>
        </w:tblPrEx>
        <w:trPr>
          <w:trHeight w:val="434" w:hRule="atLeast"/>
        </w:trPr>
        <w:tc>
          <w:tcPr>
            <w:tcW w:w="947"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1.23</w:t>
            </w:r>
          </w:p>
        </w:tc>
        <w:tc>
          <w:tcPr>
            <w:tcW w:w="946"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36</w:t>
            </w:r>
          </w:p>
        </w:tc>
        <w:tc>
          <w:tcPr>
            <w:tcW w:w="94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444.5</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160</w:t>
            </w:r>
          </w:p>
        </w:tc>
        <w:tc>
          <w:tcPr>
            <w:tcW w:w="94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w:t>
            </w:r>
          </w:p>
        </w:tc>
        <w:tc>
          <w:tcPr>
            <w:tcW w:w="94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170.125</w:t>
            </w:r>
          </w:p>
        </w:tc>
        <w:tc>
          <w:tcPr>
            <w:tcW w:w="739"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1782</w:t>
            </w:r>
          </w:p>
        </w:tc>
        <w:tc>
          <w:tcPr>
            <w:tcW w:w="1152" w:type="dxa"/>
            <w:tcBorders>
              <w:top w:val="nil"/>
              <w:left w:val="nil"/>
              <w:bottom w:val="single" w:color="auto" w:sz="4" w:space="0"/>
              <w:right w:val="single" w:color="auto" w:sz="4" w:space="0"/>
            </w:tcBorders>
            <w:shd w:val="clear" w:color="auto" w:fill="92D050"/>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 xml:space="preserve">Potable </w:t>
            </w:r>
          </w:p>
        </w:tc>
        <w:tc>
          <w:tcPr>
            <w:tcW w:w="1546" w:type="dxa"/>
            <w:tcBorders>
              <w:top w:val="nil"/>
              <w:left w:val="nil"/>
              <w:bottom w:val="single" w:color="auto" w:sz="4" w:space="0"/>
              <w:right w:val="single" w:color="auto" w:sz="4" w:space="0"/>
            </w:tcBorders>
          </w:tcPr>
          <w:p>
            <w:pPr>
              <w:spacing w:after="0" w:line="240" w:lineRule="auto"/>
              <w:jc w:val="center"/>
            </w:pPr>
            <w:r>
              <w:t xml:space="preserve">Chloruré- calcique </w:t>
            </w:r>
          </w:p>
        </w:tc>
      </w:tr>
      <w:tr>
        <w:tblPrEx>
          <w:tblCellMar>
            <w:top w:w="0" w:type="dxa"/>
            <w:left w:w="70" w:type="dxa"/>
            <w:bottom w:w="0" w:type="dxa"/>
            <w:right w:w="70" w:type="dxa"/>
          </w:tblCellMar>
        </w:tblPrEx>
        <w:trPr>
          <w:trHeight w:val="434" w:hRule="atLeast"/>
        </w:trPr>
        <w:tc>
          <w:tcPr>
            <w:tcW w:w="947"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1.03</w:t>
            </w:r>
          </w:p>
        </w:tc>
        <w:tc>
          <w:tcPr>
            <w:tcW w:w="946"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34</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471</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180</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0</w:t>
            </w:r>
          </w:p>
        </w:tc>
        <w:tc>
          <w:tcPr>
            <w:tcW w:w="94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179.811</w:t>
            </w:r>
          </w:p>
        </w:tc>
        <w:tc>
          <w:tcPr>
            <w:tcW w:w="739"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1782</w:t>
            </w:r>
          </w:p>
        </w:tc>
        <w:tc>
          <w:tcPr>
            <w:tcW w:w="1152" w:type="dxa"/>
            <w:tcBorders>
              <w:top w:val="nil"/>
              <w:left w:val="nil"/>
              <w:bottom w:val="single" w:color="auto" w:sz="4" w:space="0"/>
              <w:right w:val="single" w:color="auto" w:sz="4" w:space="0"/>
            </w:tcBorders>
            <w:shd w:val="clear" w:color="auto" w:fill="92D050"/>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Potable</w:t>
            </w:r>
          </w:p>
        </w:tc>
        <w:tc>
          <w:tcPr>
            <w:tcW w:w="1546"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Chloruré- calcique</w:t>
            </w:r>
          </w:p>
        </w:tc>
      </w:tr>
      <w:tr>
        <w:tblPrEx>
          <w:tblCellMar>
            <w:top w:w="0" w:type="dxa"/>
            <w:left w:w="70" w:type="dxa"/>
            <w:bottom w:w="0" w:type="dxa"/>
            <w:right w:w="70" w:type="dxa"/>
          </w:tblCellMar>
        </w:tblPrEx>
        <w:trPr>
          <w:trHeight w:val="434" w:hRule="atLeast"/>
        </w:trPr>
        <w:tc>
          <w:tcPr>
            <w:tcW w:w="947"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4</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1.03</w:t>
            </w:r>
          </w:p>
        </w:tc>
        <w:tc>
          <w:tcPr>
            <w:tcW w:w="946"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32</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469.5</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180</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0</w:t>
            </w:r>
          </w:p>
        </w:tc>
        <w:tc>
          <w:tcPr>
            <w:tcW w:w="94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rPr>
            </w:pPr>
            <w:r>
              <w:rPr>
                <w:rFonts w:ascii="Calibri" w:hAnsi="Calibri" w:eastAsia="Times New Roman" w:cs="Calibri"/>
              </w:rPr>
              <w:t>183.302</w:t>
            </w:r>
          </w:p>
        </w:tc>
        <w:tc>
          <w:tcPr>
            <w:tcW w:w="739"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rPr>
            </w:pPr>
            <w:r>
              <w:t>1782</w:t>
            </w:r>
          </w:p>
        </w:tc>
        <w:tc>
          <w:tcPr>
            <w:tcW w:w="1152" w:type="dxa"/>
            <w:tcBorders>
              <w:top w:val="nil"/>
              <w:left w:val="nil"/>
              <w:bottom w:val="single" w:color="auto" w:sz="4" w:space="0"/>
              <w:right w:val="single" w:color="auto" w:sz="4" w:space="0"/>
            </w:tcBorders>
            <w:shd w:val="clear" w:color="auto" w:fill="92D050"/>
          </w:tcPr>
          <w:p>
            <w:pPr>
              <w:spacing w:after="0" w:line="240" w:lineRule="auto"/>
              <w:jc w:val="center"/>
              <w:rPr>
                <w:rFonts w:ascii="Calibri" w:hAnsi="Calibri" w:eastAsia="Times New Roman" w:cs="Calibri"/>
              </w:rPr>
            </w:pPr>
            <w:r>
              <w:rPr>
                <w:rFonts w:ascii="Calibri" w:hAnsi="Calibri" w:eastAsia="Times New Roman" w:cs="Calibri"/>
                <w:color w:val="000000"/>
              </w:rPr>
              <w:t>Potable</w:t>
            </w:r>
          </w:p>
        </w:tc>
        <w:tc>
          <w:tcPr>
            <w:tcW w:w="1546" w:type="dxa"/>
            <w:tcBorders>
              <w:top w:val="nil"/>
              <w:left w:val="nil"/>
              <w:bottom w:val="single" w:color="auto" w:sz="4" w:space="0"/>
              <w:right w:val="single" w:color="auto" w:sz="4" w:space="0"/>
            </w:tcBorders>
          </w:tcPr>
          <w:p>
            <w:pPr>
              <w:spacing w:after="0" w:line="240" w:lineRule="auto"/>
              <w:jc w:val="center"/>
            </w:pPr>
            <w:r>
              <w:t xml:space="preserve">Chloruré- calcique </w:t>
            </w:r>
          </w:p>
        </w:tc>
      </w:tr>
      <w:tr>
        <w:tblPrEx>
          <w:tblCellMar>
            <w:top w:w="0" w:type="dxa"/>
            <w:left w:w="70" w:type="dxa"/>
            <w:bottom w:w="0" w:type="dxa"/>
            <w:right w:w="70" w:type="dxa"/>
          </w:tblCellMar>
        </w:tblPrEx>
        <w:trPr>
          <w:trHeight w:val="434" w:hRule="atLeast"/>
        </w:trPr>
        <w:tc>
          <w:tcPr>
            <w:tcW w:w="947"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1.23</w:t>
            </w:r>
          </w:p>
        </w:tc>
        <w:tc>
          <w:tcPr>
            <w:tcW w:w="946"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32.5</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444.5</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160</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w:t>
            </w:r>
          </w:p>
        </w:tc>
        <w:tc>
          <w:tcPr>
            <w:tcW w:w="94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173.625</w:t>
            </w:r>
          </w:p>
        </w:tc>
        <w:tc>
          <w:tcPr>
            <w:tcW w:w="739"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1782</w:t>
            </w:r>
          </w:p>
        </w:tc>
        <w:tc>
          <w:tcPr>
            <w:tcW w:w="1152" w:type="dxa"/>
            <w:tcBorders>
              <w:top w:val="nil"/>
              <w:left w:val="nil"/>
              <w:bottom w:val="single" w:color="auto" w:sz="4" w:space="0"/>
              <w:right w:val="single" w:color="auto" w:sz="4" w:space="0"/>
            </w:tcBorders>
            <w:shd w:val="clear" w:color="auto" w:fill="92D050"/>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Potable</w:t>
            </w:r>
          </w:p>
        </w:tc>
        <w:tc>
          <w:tcPr>
            <w:tcW w:w="1546"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Chloruré- calcique</w:t>
            </w:r>
          </w:p>
        </w:tc>
      </w:tr>
      <w:tr>
        <w:tblPrEx>
          <w:tblCellMar>
            <w:top w:w="0" w:type="dxa"/>
            <w:left w:w="70" w:type="dxa"/>
            <w:bottom w:w="0" w:type="dxa"/>
            <w:right w:w="70" w:type="dxa"/>
          </w:tblCellMar>
        </w:tblPrEx>
        <w:trPr>
          <w:trHeight w:val="434" w:hRule="atLeast"/>
        </w:trPr>
        <w:tc>
          <w:tcPr>
            <w:tcW w:w="947"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6</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1.24</w:t>
            </w:r>
          </w:p>
        </w:tc>
        <w:tc>
          <w:tcPr>
            <w:tcW w:w="946"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35</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453</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160</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w:t>
            </w:r>
          </w:p>
        </w:tc>
        <w:tc>
          <w:tcPr>
            <w:tcW w:w="94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162.583</w:t>
            </w:r>
          </w:p>
        </w:tc>
        <w:tc>
          <w:tcPr>
            <w:tcW w:w="739"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1802</w:t>
            </w:r>
          </w:p>
        </w:tc>
        <w:tc>
          <w:tcPr>
            <w:tcW w:w="1152" w:type="dxa"/>
            <w:tcBorders>
              <w:top w:val="nil"/>
              <w:left w:val="nil"/>
              <w:bottom w:val="single" w:color="auto" w:sz="4" w:space="0"/>
              <w:right w:val="single" w:color="auto" w:sz="4" w:space="0"/>
            </w:tcBorders>
            <w:shd w:val="clear" w:color="auto" w:fill="92D050"/>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Potable</w:t>
            </w:r>
          </w:p>
        </w:tc>
        <w:tc>
          <w:tcPr>
            <w:tcW w:w="1546" w:type="dxa"/>
            <w:tcBorders>
              <w:top w:val="nil"/>
              <w:left w:val="nil"/>
              <w:bottom w:val="single" w:color="auto" w:sz="4" w:space="0"/>
              <w:right w:val="single" w:color="auto" w:sz="4" w:space="0"/>
            </w:tcBorders>
          </w:tcPr>
          <w:p>
            <w:pPr>
              <w:spacing w:after="0" w:line="240" w:lineRule="auto"/>
              <w:jc w:val="center"/>
            </w:pPr>
            <w:r>
              <w:t xml:space="preserve">Chloruré- calcique </w:t>
            </w:r>
          </w:p>
        </w:tc>
      </w:tr>
      <w:tr>
        <w:tblPrEx>
          <w:tblCellMar>
            <w:top w:w="0" w:type="dxa"/>
            <w:left w:w="70" w:type="dxa"/>
            <w:bottom w:w="0" w:type="dxa"/>
            <w:right w:w="70" w:type="dxa"/>
          </w:tblCellMar>
        </w:tblPrEx>
        <w:trPr>
          <w:trHeight w:val="434" w:hRule="atLeast"/>
        </w:trPr>
        <w:tc>
          <w:tcPr>
            <w:tcW w:w="947"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7</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1.24</w:t>
            </w:r>
          </w:p>
        </w:tc>
        <w:tc>
          <w:tcPr>
            <w:tcW w:w="946"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32</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453</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160</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17</w:t>
            </w:r>
          </w:p>
        </w:tc>
        <w:tc>
          <w:tcPr>
            <w:tcW w:w="94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165.563</w:t>
            </w:r>
          </w:p>
        </w:tc>
        <w:tc>
          <w:tcPr>
            <w:tcW w:w="739"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1843</w:t>
            </w:r>
          </w:p>
        </w:tc>
        <w:tc>
          <w:tcPr>
            <w:tcW w:w="1152" w:type="dxa"/>
            <w:tcBorders>
              <w:top w:val="nil"/>
              <w:left w:val="nil"/>
              <w:bottom w:val="single" w:color="auto" w:sz="4" w:space="0"/>
              <w:right w:val="single" w:color="auto" w:sz="4" w:space="0"/>
            </w:tcBorders>
            <w:shd w:val="clear" w:color="auto" w:fill="92D050"/>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Potable</w:t>
            </w:r>
          </w:p>
        </w:tc>
        <w:tc>
          <w:tcPr>
            <w:tcW w:w="1546"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Chloruré- calcique</w:t>
            </w:r>
          </w:p>
        </w:tc>
      </w:tr>
      <w:tr>
        <w:tblPrEx>
          <w:tblCellMar>
            <w:top w:w="0" w:type="dxa"/>
            <w:left w:w="70" w:type="dxa"/>
            <w:bottom w:w="0" w:type="dxa"/>
            <w:right w:w="70" w:type="dxa"/>
          </w:tblCellMar>
        </w:tblPrEx>
        <w:trPr>
          <w:trHeight w:val="434" w:hRule="atLeast"/>
        </w:trPr>
        <w:tc>
          <w:tcPr>
            <w:tcW w:w="947"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8</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1.68</w:t>
            </w:r>
          </w:p>
        </w:tc>
        <w:tc>
          <w:tcPr>
            <w:tcW w:w="946"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33</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416.5</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42</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18</w:t>
            </w:r>
          </w:p>
        </w:tc>
        <w:tc>
          <w:tcPr>
            <w:tcW w:w="94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175.676</w:t>
            </w:r>
          </w:p>
        </w:tc>
        <w:tc>
          <w:tcPr>
            <w:tcW w:w="739"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1720</w:t>
            </w:r>
          </w:p>
        </w:tc>
        <w:tc>
          <w:tcPr>
            <w:tcW w:w="1152" w:type="dxa"/>
            <w:tcBorders>
              <w:top w:val="nil"/>
              <w:left w:val="nil"/>
              <w:bottom w:val="single" w:color="auto" w:sz="4" w:space="0"/>
              <w:right w:val="single" w:color="auto" w:sz="4" w:space="0"/>
            </w:tcBorders>
            <w:shd w:val="clear" w:color="auto" w:fill="92D050"/>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Potable</w:t>
            </w:r>
          </w:p>
        </w:tc>
        <w:tc>
          <w:tcPr>
            <w:tcW w:w="1546" w:type="dxa"/>
            <w:tcBorders>
              <w:top w:val="nil"/>
              <w:left w:val="nil"/>
              <w:bottom w:val="single" w:color="auto" w:sz="4" w:space="0"/>
              <w:right w:val="single" w:color="auto" w:sz="4" w:space="0"/>
            </w:tcBorders>
          </w:tcPr>
          <w:p>
            <w:pPr>
              <w:spacing w:after="0" w:line="240" w:lineRule="auto"/>
              <w:jc w:val="center"/>
            </w:pPr>
            <w:r>
              <w:t xml:space="preserve">Chloruré- calcique </w:t>
            </w:r>
          </w:p>
        </w:tc>
      </w:tr>
      <w:tr>
        <w:tblPrEx>
          <w:tblCellMar>
            <w:top w:w="0" w:type="dxa"/>
            <w:left w:w="70" w:type="dxa"/>
            <w:bottom w:w="0" w:type="dxa"/>
            <w:right w:w="70" w:type="dxa"/>
          </w:tblCellMar>
        </w:tblPrEx>
        <w:trPr>
          <w:trHeight w:val="434" w:hRule="atLeast"/>
        </w:trPr>
        <w:tc>
          <w:tcPr>
            <w:tcW w:w="947" w:type="dxa"/>
            <w:tcBorders>
              <w:top w:val="nil"/>
              <w:left w:val="single" w:color="auto" w:sz="4" w:space="0"/>
              <w:bottom w:val="single" w:color="auto" w:sz="4" w:space="0"/>
              <w:right w:val="single" w:color="auto" w:sz="4" w:space="0"/>
            </w:tcBorders>
            <w:shd w:val="clear" w:color="auto" w:fill="auto"/>
            <w:noWrap/>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9</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1.68</w:t>
            </w:r>
          </w:p>
        </w:tc>
        <w:tc>
          <w:tcPr>
            <w:tcW w:w="946"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32</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502.5</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45</w:t>
            </w:r>
          </w:p>
        </w:tc>
        <w:tc>
          <w:tcPr>
            <w:tcW w:w="947" w:type="dxa"/>
            <w:tcBorders>
              <w:top w:val="nil"/>
              <w:left w:val="nil"/>
              <w:bottom w:val="single" w:color="auto" w:sz="4" w:space="0"/>
              <w:right w:val="single" w:color="auto" w:sz="4" w:space="0"/>
            </w:tcBorders>
            <w:shd w:val="clear" w:color="auto" w:fill="auto"/>
            <w:vAlign w:val="center"/>
          </w:tcPr>
          <w:p>
            <w:pPr>
              <w:spacing w:after="0" w:line="240" w:lineRule="auto"/>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22</w:t>
            </w:r>
          </w:p>
        </w:tc>
        <w:tc>
          <w:tcPr>
            <w:tcW w:w="947" w:type="dxa"/>
            <w:tcBorders>
              <w:top w:val="nil"/>
              <w:left w:val="nil"/>
              <w:bottom w:val="single" w:color="auto" w:sz="4" w:space="0"/>
              <w:right w:val="single" w:color="auto" w:sz="4" w:space="0"/>
            </w:tcBorders>
            <w:shd w:val="clear" w:color="auto" w:fill="auto"/>
            <w:noWrap/>
            <w:vAlign w:val="center"/>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95.175</w:t>
            </w:r>
          </w:p>
        </w:tc>
        <w:tc>
          <w:tcPr>
            <w:tcW w:w="739"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1760</w:t>
            </w:r>
          </w:p>
        </w:tc>
        <w:tc>
          <w:tcPr>
            <w:tcW w:w="1152" w:type="dxa"/>
            <w:tcBorders>
              <w:top w:val="nil"/>
              <w:left w:val="nil"/>
              <w:bottom w:val="single" w:color="auto" w:sz="4" w:space="0"/>
              <w:right w:val="single" w:color="auto" w:sz="4" w:space="0"/>
            </w:tcBorders>
            <w:shd w:val="clear" w:color="auto" w:fill="92D050"/>
          </w:tcPr>
          <w:p>
            <w:pPr>
              <w:spacing w:after="0" w:line="240" w:lineRule="auto"/>
              <w:jc w:val="center"/>
              <w:rPr>
                <w:rFonts w:ascii="Calibri" w:hAnsi="Calibri" w:eastAsia="Times New Roman" w:cs="Calibri"/>
                <w:color w:val="000000"/>
              </w:rPr>
            </w:pPr>
            <w:r>
              <w:rPr>
                <w:rFonts w:ascii="Calibri" w:hAnsi="Calibri" w:eastAsia="Times New Roman" w:cs="Calibri"/>
                <w:color w:val="000000"/>
              </w:rPr>
              <w:t>Potable</w:t>
            </w:r>
          </w:p>
        </w:tc>
        <w:tc>
          <w:tcPr>
            <w:tcW w:w="1546" w:type="dxa"/>
            <w:tcBorders>
              <w:top w:val="nil"/>
              <w:left w:val="nil"/>
              <w:bottom w:val="single" w:color="auto" w:sz="4" w:space="0"/>
              <w:right w:val="single" w:color="auto" w:sz="4" w:space="0"/>
            </w:tcBorders>
          </w:tcPr>
          <w:p>
            <w:pPr>
              <w:spacing w:after="0" w:line="240" w:lineRule="auto"/>
              <w:jc w:val="center"/>
              <w:rPr>
                <w:rFonts w:ascii="Calibri" w:hAnsi="Calibri" w:eastAsia="Times New Roman" w:cs="Calibri"/>
                <w:color w:val="000000"/>
              </w:rPr>
            </w:pPr>
            <w:r>
              <w:t>Chloruré- calcique</w:t>
            </w:r>
          </w:p>
        </w:tc>
      </w:tr>
    </w:tbl>
    <w:p>
      <w:pPr>
        <w:spacing w:after="0" w:line="360" w:lineRule="auto"/>
        <w:rPr>
          <w:rFonts w:asciiTheme="majorBidi" w:hAnsiTheme="majorBidi" w:cstheme="majorBidi"/>
          <w:sz w:val="24"/>
          <w:szCs w:val="24"/>
        </w:rPr>
      </w:pPr>
    </w:p>
    <w:p>
      <w:pPr>
        <w:spacing w:after="0" w:line="360" w:lineRule="auto"/>
        <w:rPr>
          <w:rFonts w:eastAsia="TimesNewRomanOOEnc" w:asciiTheme="majorBidi" w:hAnsiTheme="majorBidi" w:cstheme="majorBidi"/>
          <w:sz w:val="24"/>
          <w:szCs w:val="24"/>
        </w:rPr>
      </w:pPr>
      <w:r>
        <w:rPr>
          <w:rFonts w:asciiTheme="majorBidi" w:hAnsiTheme="majorBidi" w:cstheme="majorBidi"/>
          <w:sz w:val="24"/>
          <w:szCs w:val="24"/>
        </w:rPr>
        <w:t xml:space="preserve">Après les analyses physiquo-chimiques  de l’eau traitée du barrage kramis, on peut dire que cette eau est potable mais nous ne pouvons pas confirmer  à cause que le manque des données sur les paramètres biologiques.  </w:t>
      </w:r>
    </w:p>
    <w:p>
      <w:pPr>
        <w:spacing w:after="0" w:line="360" w:lineRule="auto"/>
        <w:rPr>
          <w:rFonts w:eastAsia="TimesNewRomanOOEnc" w:asciiTheme="majorBidi" w:hAnsiTheme="majorBidi" w:cstheme="majorBidi"/>
          <w:b/>
          <w:bCs/>
          <w:sz w:val="24"/>
          <w:szCs w:val="24"/>
        </w:rPr>
      </w:pPr>
      <w:r>
        <w:rPr>
          <w:rFonts w:eastAsia="TimesNewRomanOOEnc" w:asciiTheme="majorBidi" w:hAnsiTheme="majorBidi" w:cstheme="majorBidi"/>
          <w:b/>
          <w:bCs/>
          <w:sz w:val="24"/>
          <w:szCs w:val="24"/>
        </w:rPr>
        <w:t>7. Qualité des eaux d’irrigation :</w:t>
      </w:r>
    </w:p>
    <w:p>
      <w:pPr>
        <w:spacing w:after="0" w:line="360" w:lineRule="auto"/>
        <w:ind w:firstLine="284"/>
        <w:rPr>
          <w:rFonts w:eastAsia="TimesNewRomanOOEnc" w:asciiTheme="majorBidi" w:hAnsiTheme="majorBidi" w:cstheme="majorBidi"/>
          <w:sz w:val="24"/>
          <w:szCs w:val="24"/>
        </w:rPr>
      </w:pPr>
      <w:r>
        <w:rPr>
          <w:rFonts w:eastAsia="TimesNewRomanOOEnc" w:asciiTheme="majorBidi" w:hAnsiTheme="majorBidi" w:cstheme="majorBidi"/>
          <w:sz w:val="24"/>
          <w:szCs w:val="24"/>
        </w:rPr>
        <w:t>Les eaux superficielles peuvent être utilisées aussi bien pour l’A.E.P que pour l’irrigation ou l’industrie.</w:t>
      </w:r>
    </w:p>
    <w:p>
      <w:pPr>
        <w:spacing w:after="0" w:line="360" w:lineRule="auto"/>
        <w:ind w:firstLine="284"/>
        <w:rPr>
          <w:rFonts w:eastAsia="TimesNewRomanOOEnc" w:asciiTheme="majorBidi" w:hAnsiTheme="majorBidi" w:cstheme="majorBidi"/>
          <w:sz w:val="24"/>
          <w:szCs w:val="24"/>
        </w:rPr>
      </w:pPr>
      <w:r>
        <w:rPr>
          <w:rFonts w:eastAsia="TimesNewRomanOOEnc" w:asciiTheme="majorBidi" w:hAnsiTheme="majorBidi" w:cstheme="majorBidi"/>
          <w:sz w:val="24"/>
          <w:szCs w:val="24"/>
        </w:rPr>
        <w:t>Pour l’irrigation, en raison de l’effet de leurs éléments minéraux sur les végétaux, la méthode du taux d’absorption du sodium mis au point en 1969 par le Géological Survey a été appliquée. Cette méthode fait intervenir la salinité et le risque d’alcalinisation des sols. Le S.A.R. est donné par la formule :</w:t>
      </w:r>
    </w:p>
    <w:p>
      <w:pPr>
        <w:spacing w:after="0" w:line="360" w:lineRule="auto"/>
        <w:ind w:left="360"/>
        <w:rPr>
          <w:rFonts w:eastAsia="TimesNewRomanOOEnc" w:asciiTheme="majorBidi" w:hAnsiTheme="majorBidi" w:cstheme="majorBidi"/>
          <w:sz w:val="24"/>
          <w:szCs w:val="24"/>
        </w:rPr>
      </w:pPr>
      <w:r>
        <w:rPr>
          <w:rFonts w:eastAsia="TimesNewRomanOOEnc" w:asciiTheme="majorBidi" w:hAnsiTheme="majorBidi" w:cstheme="majorBidi"/>
          <w:sz w:val="24"/>
          <w:szCs w:val="24"/>
        </w:rPr>
        <w:t xml:space="preserve">                                    SAR= </w:t>
      </w:r>
      <m:oMath>
        <m:f>
          <m:fPr>
            <m:ctrlPr>
              <w:rPr>
                <w:rFonts w:ascii="Cambria Math" w:hAnsi="Cambria Math" w:eastAsia="TimesNewRomanOOEnc" w:cstheme="majorBidi"/>
                <w:i/>
                <w:sz w:val="28"/>
                <w:szCs w:val="28"/>
              </w:rPr>
            </m:ctrlPr>
          </m:fPr>
          <m:num>
            <m:r>
              <m:rPr>
                <m:sty m:val="p"/>
              </m:rPr>
              <w:rPr>
                <w:rFonts w:ascii="Cambria Math" w:hAnsi="Cambria Math" w:eastAsia="TimesNewRomanOOEnc" w:cstheme="majorBidi"/>
                <w:sz w:val="28"/>
                <w:szCs w:val="28"/>
              </w:rPr>
              <m:t>rNa</m:t>
            </m:r>
            <m:ctrlPr>
              <w:rPr>
                <w:rFonts w:ascii="Cambria Math" w:hAnsi="Cambria Math" w:eastAsia="TimesNewRomanOOEnc" w:cstheme="majorBidi"/>
                <w:i/>
                <w:sz w:val="28"/>
                <w:szCs w:val="28"/>
              </w:rPr>
            </m:ctrlPr>
          </m:num>
          <m:den>
            <m:rad>
              <m:radPr>
                <m:degHide m:val="1"/>
                <m:ctrlPr>
                  <w:rPr>
                    <w:rFonts w:ascii="Cambria Math" w:hAnsi="Cambria Math" w:eastAsia="TimesNewRomanOOEnc" w:cstheme="majorBidi"/>
                    <w:i/>
                    <w:sz w:val="28"/>
                    <w:szCs w:val="28"/>
                  </w:rPr>
                </m:ctrlPr>
              </m:radPr>
              <m:deg>
                <m:ctrlPr>
                  <w:rPr>
                    <w:rFonts w:ascii="Cambria Math" w:hAnsi="Cambria Math" w:eastAsia="TimesNewRomanOOEnc" w:cstheme="majorBidi"/>
                    <w:i/>
                    <w:sz w:val="28"/>
                    <w:szCs w:val="28"/>
                  </w:rPr>
                </m:ctrlPr>
              </m:deg>
              <m:e>
                <m:r>
                  <m:rPr/>
                  <w:rPr>
                    <w:rFonts w:ascii="Cambria Math" w:hAnsi="Cambria Math" w:eastAsia="TimesNewRomanOOEnc" w:cstheme="majorBidi"/>
                    <w:sz w:val="28"/>
                    <w:szCs w:val="28"/>
                  </w:rPr>
                  <m:t>rCa+Mg</m:t>
                </m:r>
                <m:ctrlPr>
                  <w:rPr>
                    <w:rFonts w:ascii="Cambria Math" w:hAnsi="Cambria Math" w:eastAsia="TimesNewRomanOOEnc" w:cstheme="majorBidi"/>
                    <w:i/>
                    <w:sz w:val="28"/>
                    <w:szCs w:val="28"/>
                  </w:rPr>
                </m:ctrlPr>
              </m:e>
            </m:rad>
            <m:r>
              <m:rPr/>
              <w:rPr>
                <w:rFonts w:ascii="Cambria Math" w:hAnsi="Cambria Math" w:eastAsia="TimesNewRomanOOEnc" w:cstheme="majorBidi"/>
                <w:sz w:val="28"/>
                <w:szCs w:val="28"/>
              </w:rPr>
              <m:t>/2</m:t>
            </m:r>
            <m:ctrlPr>
              <w:rPr>
                <w:rFonts w:ascii="Cambria Math" w:hAnsi="Cambria Math" w:eastAsia="TimesNewRomanOOEnc" w:cstheme="majorBidi"/>
                <w:i/>
                <w:sz w:val="28"/>
                <w:szCs w:val="28"/>
              </w:rPr>
            </m:ctrlPr>
          </m:den>
        </m:f>
      </m:oMath>
      <w:r>
        <w:rPr>
          <w:rFonts w:eastAsia="TimesNewRomanOOEnc" w:asciiTheme="majorBidi" w:hAnsiTheme="majorBidi" w:cstheme="majorBidi"/>
          <w:sz w:val="24"/>
          <w:szCs w:val="24"/>
        </w:rPr>
        <w:t xml:space="preserve"> </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La concentration de chaque ion est exprimées en méq/l. selon le taux d’absorption de sodium (S.A.R), on à la classification suivante :</w:t>
      </w:r>
    </w:p>
    <w:p>
      <w:pPr>
        <w:pStyle w:val="10"/>
        <w:numPr>
          <w:ilvl w:val="0"/>
          <w:numId w:val="38"/>
        </w:num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SAR&lt;10 : eau à faible danger d’alcalinisation des sols, (eaux excellentes).</w:t>
      </w:r>
    </w:p>
    <w:p>
      <w:pPr>
        <w:pStyle w:val="10"/>
        <w:numPr>
          <w:ilvl w:val="0"/>
          <w:numId w:val="38"/>
        </w:num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10&lt;SAR&lt;18 : eau avec un danger d’alcalinisation assez appréciable (eaux bonnes).</w:t>
      </w:r>
    </w:p>
    <w:p>
      <w:pPr>
        <w:pStyle w:val="10"/>
        <w:numPr>
          <w:ilvl w:val="0"/>
          <w:numId w:val="38"/>
        </w:num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18&lt;SAR&lt;26 : eau avec un danger d’alcalinisation important (eaux convenables).</w:t>
      </w:r>
    </w:p>
    <w:p>
      <w:pPr>
        <w:pStyle w:val="10"/>
        <w:numPr>
          <w:ilvl w:val="0"/>
          <w:numId w:val="38"/>
        </w:num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SAR&gt;26 : eaux présentant un danger d’alcalinisation très fort (eaux médiocres).</w:t>
      </w:r>
    </w:p>
    <w:p>
      <w:pPr>
        <w:spacing w:after="0" w:line="360" w:lineRule="auto"/>
        <w:rPr>
          <w:rFonts w:eastAsia="TimesNewRomanOOEnc" w:asciiTheme="majorBidi" w:hAnsiTheme="majorBidi" w:cstheme="majorBidi"/>
          <w:sz w:val="24"/>
          <w:szCs w:val="24"/>
        </w:rPr>
      </w:pPr>
      <w:r>
        <w:rPr>
          <w:rFonts w:eastAsia="TimesNewRomanOOEnc" w:asciiTheme="majorBidi" w:hAnsiTheme="majorBidi" w:cstheme="majorBidi"/>
          <w:sz w:val="24"/>
          <w:szCs w:val="24"/>
        </w:rPr>
        <w:t xml:space="preserve">Pour notre cas d’étude nous ne pouvons pas déduire la qualité de ces eaux de surface par rapport à l’irrigation car la station de traitement du barrage Kramis ne fait pas le dosage des cations Na et K, donc nous ne pouvons pas calculer le SAR et caractériser l’eau  si elle est bonne ou pas  pour l’irrigation à cause de l’absence de  teneure en sodium.  </w:t>
      </w:r>
    </w:p>
    <w:p>
      <w:pPr>
        <w:spacing w:after="0" w:line="360" w:lineRule="auto"/>
        <w:rPr>
          <w:rFonts w:eastAsia="TimesNewRomanOOEnc" w:asciiTheme="majorBidi" w:hAnsiTheme="majorBidi" w:cstheme="majorBidi"/>
          <w:sz w:val="24"/>
          <w:szCs w:val="24"/>
        </w:rPr>
      </w:pPr>
    </w:p>
    <w:p>
      <w:pPr>
        <w:tabs>
          <w:tab w:val="left" w:pos="1935"/>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Conclusion :</w:t>
      </w:r>
    </w:p>
    <w:p>
      <w:pPr>
        <w:tabs>
          <w:tab w:val="left" w:pos="1935"/>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A l’issue de cette étude qui a porté essentiellement sur l’évaluation de la qualité des eaux du barrage kramis de consommation de la commune d’Acheacha (wilaya de Mostaganem), il ressort que certains des paramètres analysés ne sont pas conformes aussi bien à la réglementation nationale qu’internationale en matière de potabilité de l’eau.</w:t>
      </w:r>
    </w:p>
    <w:p>
      <w:pPr>
        <w:tabs>
          <w:tab w:val="left" w:pos="1935"/>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Les résultats d’analyses physicochimiques montrent que les eaux traitées de barrage Kramis caractérisées par un Ph basique et une conductivité élevés avec une grande augmentation de concentration de quelque élément chimique tels que (Cl</w:t>
      </w:r>
      <w:r>
        <w:rPr>
          <w:rFonts w:asciiTheme="majorBidi" w:hAnsiTheme="majorBidi" w:cstheme="majorBidi"/>
          <w:sz w:val="24"/>
          <w:szCs w:val="24"/>
          <w:vertAlign w:val="superscript"/>
        </w:rPr>
        <w:t>-</w:t>
      </w:r>
      <w:r>
        <w:rPr>
          <w:rFonts w:asciiTheme="majorBidi" w:hAnsiTheme="majorBidi" w:cstheme="majorBidi"/>
          <w:sz w:val="24"/>
          <w:szCs w:val="24"/>
        </w:rPr>
        <w:t>, Ca</w:t>
      </w:r>
      <w:r>
        <w:rPr>
          <w:rFonts w:asciiTheme="majorBidi" w:hAnsiTheme="majorBidi" w:cstheme="majorBidi"/>
          <w:sz w:val="24"/>
          <w:szCs w:val="24"/>
          <w:vertAlign w:val="superscript"/>
        </w:rPr>
        <w:t>2+</w:t>
      </w:r>
      <w:r>
        <w:rPr>
          <w:rFonts w:asciiTheme="majorBidi" w:hAnsiTheme="majorBidi" w:cstheme="majorBidi"/>
          <w:sz w:val="24"/>
          <w:szCs w:val="24"/>
        </w:rPr>
        <w:t>).</w:t>
      </w:r>
    </w:p>
    <w:p>
      <w:pPr>
        <w:tabs>
          <w:tab w:val="left" w:pos="1935"/>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Et d’autre éléments presque nul tel que (NH</w:t>
      </w:r>
      <w:r>
        <w:rPr>
          <w:rFonts w:asciiTheme="majorBidi" w:hAnsiTheme="majorBidi" w:cstheme="majorBidi"/>
          <w:sz w:val="24"/>
          <w:szCs w:val="24"/>
          <w:vertAlign w:val="subscript"/>
        </w:rPr>
        <w:t>4,</w:t>
      </w:r>
      <w:r>
        <w:rPr>
          <w:rFonts w:asciiTheme="majorBidi" w:hAnsiTheme="majorBidi" w:cstheme="majorBidi"/>
          <w:sz w:val="24"/>
          <w:szCs w:val="24"/>
        </w:rPr>
        <w:t xml:space="preserve"> NO</w:t>
      </w:r>
      <w:r>
        <w:rPr>
          <w:rFonts w:asciiTheme="majorBidi" w:hAnsiTheme="majorBidi" w:cstheme="majorBidi"/>
          <w:sz w:val="24"/>
          <w:szCs w:val="24"/>
          <w:vertAlign w:val="subscript"/>
        </w:rPr>
        <w:t>3</w:t>
      </w:r>
      <w:r>
        <w:rPr>
          <w:rFonts w:asciiTheme="majorBidi" w:hAnsiTheme="majorBidi" w:cstheme="majorBidi"/>
          <w:sz w:val="24"/>
          <w:szCs w:val="24"/>
        </w:rPr>
        <w:t>).</w:t>
      </w:r>
    </w:p>
    <w:p>
      <w:pPr>
        <w:pStyle w:val="10"/>
        <w:numPr>
          <w:ilvl w:val="0"/>
          <w:numId w:val="39"/>
        </w:numPr>
        <w:tabs>
          <w:tab w:val="left" w:pos="1935"/>
        </w:tabs>
        <w:spacing w:after="0" w:line="360" w:lineRule="auto"/>
        <w:rPr>
          <w:rFonts w:asciiTheme="majorBidi" w:hAnsiTheme="majorBidi" w:cstheme="majorBidi"/>
          <w:sz w:val="24"/>
          <w:szCs w:val="24"/>
        </w:rPr>
      </w:pPr>
      <w:r>
        <w:rPr>
          <w:rFonts w:asciiTheme="majorBidi" w:hAnsiTheme="majorBidi" w:cstheme="majorBidi"/>
          <w:sz w:val="24"/>
          <w:szCs w:val="24"/>
        </w:rPr>
        <w:t>Le faciès chimiques dominant est : chlorière calcique.</w:t>
      </w:r>
    </w:p>
    <w:p>
      <w:pPr>
        <w:pStyle w:val="10"/>
        <w:numPr>
          <w:ilvl w:val="0"/>
          <w:numId w:val="39"/>
        </w:numPr>
        <w:tabs>
          <w:tab w:val="left" w:pos="1935"/>
        </w:tabs>
        <w:spacing w:after="0" w:line="360" w:lineRule="auto"/>
        <w:rPr>
          <w:rFonts w:asciiTheme="majorBidi" w:hAnsiTheme="majorBidi" w:cstheme="majorBidi"/>
          <w:sz w:val="24"/>
          <w:szCs w:val="24"/>
        </w:rPr>
      </w:pPr>
      <w:r>
        <w:rPr>
          <w:rFonts w:asciiTheme="majorBidi" w:hAnsiTheme="majorBidi" w:cstheme="majorBidi"/>
          <w:sz w:val="24"/>
          <w:szCs w:val="24"/>
        </w:rPr>
        <w:t>Qualité des eaux sont dure et Très dure (la majorité) parce que la dureté TH&gt;54.</w:t>
      </w:r>
    </w:p>
    <w:p>
      <w:pPr>
        <w:tabs>
          <w:tab w:val="left" w:pos="1935"/>
        </w:tabs>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Cette confrontation, basée sur les résultats des analyses chimiques des eaux de surface brutes destinées à l’AEP ne peut, toutefois, être tenue en compte que si elle est complétée par une étude et des analyses bactériologiques.   </w:t>
      </w:r>
    </w:p>
    <w:p>
      <w:pPr>
        <w:tabs>
          <w:tab w:val="left" w:pos="1935"/>
        </w:tabs>
        <w:spacing w:after="0" w:line="360" w:lineRule="auto"/>
        <w:rPr>
          <w:rFonts w:asciiTheme="majorBidi" w:hAnsiTheme="majorBidi" w:cstheme="majorBidi"/>
          <w:sz w:val="24"/>
          <w:szCs w:val="24"/>
        </w:rPr>
      </w:pPr>
      <w:r>
        <w:rPr>
          <w:rFonts w:asciiTheme="majorBidi" w:hAnsiTheme="majorBidi" w:cstheme="majorBidi"/>
          <w:sz w:val="24"/>
          <w:szCs w:val="24"/>
        </w:rPr>
        <w:t xml:space="preserve">   </w:t>
      </w:r>
    </w:p>
    <w:p>
      <w:pPr>
        <w:tabs>
          <w:tab w:val="left" w:pos="1935"/>
        </w:tabs>
        <w:spacing w:after="0" w:line="360" w:lineRule="auto"/>
        <w:rPr>
          <w:rFonts w:asciiTheme="majorBidi" w:hAnsiTheme="majorBidi" w:cstheme="majorBidi"/>
          <w:sz w:val="24"/>
          <w:szCs w:val="24"/>
        </w:rPr>
      </w:pPr>
    </w:p>
    <w:p>
      <w:pPr>
        <w:tabs>
          <w:tab w:val="left" w:pos="1935"/>
        </w:tabs>
        <w:spacing w:after="0" w:line="360" w:lineRule="auto"/>
        <w:rPr>
          <w:rFonts w:asciiTheme="majorBidi" w:hAnsiTheme="majorBidi" w:cstheme="majorBidi"/>
          <w:sz w:val="24"/>
          <w:szCs w:val="24"/>
        </w:rPr>
      </w:pPr>
    </w:p>
    <w:p>
      <w:pPr>
        <w:tabs>
          <w:tab w:val="left" w:pos="1935"/>
        </w:tabs>
        <w:spacing w:after="0" w:line="360" w:lineRule="auto"/>
        <w:rPr>
          <w:rFonts w:asciiTheme="majorBidi" w:hAnsiTheme="majorBidi" w:cstheme="majorBidi"/>
          <w:sz w:val="24"/>
          <w:szCs w:val="24"/>
        </w:rPr>
      </w:pPr>
    </w:p>
    <w:p>
      <w:pPr>
        <w:tabs>
          <w:tab w:val="left" w:pos="1935"/>
        </w:tabs>
        <w:spacing w:after="0" w:line="360" w:lineRule="auto"/>
        <w:rPr>
          <w:rFonts w:asciiTheme="majorBidi" w:hAnsiTheme="majorBidi" w:cstheme="majorBidi"/>
          <w:sz w:val="24"/>
          <w:szCs w:val="24"/>
        </w:rPr>
      </w:pPr>
    </w:p>
    <w:p>
      <w:pPr>
        <w:tabs>
          <w:tab w:val="left" w:pos="1935"/>
        </w:tabs>
        <w:spacing w:after="0" w:line="360" w:lineRule="auto"/>
        <w:rPr>
          <w:rFonts w:asciiTheme="majorBidi" w:hAnsiTheme="majorBidi" w:cstheme="majorBidi"/>
          <w:sz w:val="24"/>
          <w:szCs w:val="24"/>
        </w:rPr>
      </w:pPr>
    </w:p>
    <w:p>
      <w:pPr>
        <w:tabs>
          <w:tab w:val="left" w:pos="1935"/>
        </w:tabs>
        <w:spacing w:after="0" w:line="360" w:lineRule="auto"/>
        <w:rPr>
          <w:rFonts w:asciiTheme="majorBidi" w:hAnsiTheme="majorBidi" w:cstheme="majorBidi"/>
          <w:sz w:val="24"/>
          <w:szCs w:val="24"/>
        </w:rPr>
      </w:pPr>
    </w:p>
    <w:p>
      <w:pPr>
        <w:tabs>
          <w:tab w:val="left" w:pos="1935"/>
        </w:tabs>
        <w:spacing w:after="0" w:line="360" w:lineRule="auto"/>
        <w:rPr>
          <w:rFonts w:asciiTheme="majorBidi" w:hAnsiTheme="majorBidi" w:cstheme="majorBidi"/>
          <w:sz w:val="24"/>
          <w:szCs w:val="24"/>
        </w:rPr>
      </w:pPr>
    </w:p>
    <w:p>
      <w:pPr>
        <w:tabs>
          <w:tab w:val="left" w:pos="1935"/>
        </w:tabs>
        <w:spacing w:after="0" w:line="360" w:lineRule="auto"/>
        <w:rPr>
          <w:rFonts w:asciiTheme="majorBidi" w:hAnsiTheme="majorBidi" w:cstheme="majorBidi"/>
          <w:sz w:val="24"/>
          <w:szCs w:val="24"/>
        </w:rPr>
      </w:pPr>
    </w:p>
    <w:p>
      <w:pPr>
        <w:tabs>
          <w:tab w:val="left" w:pos="1935"/>
        </w:tabs>
        <w:spacing w:after="0" w:line="360" w:lineRule="auto"/>
        <w:rPr>
          <w:rFonts w:asciiTheme="majorBidi" w:hAnsiTheme="majorBidi" w:cstheme="majorBidi"/>
          <w:sz w:val="24"/>
          <w:szCs w:val="24"/>
        </w:rPr>
      </w:pPr>
    </w:p>
    <w:p>
      <w:pPr>
        <w:tabs>
          <w:tab w:val="left" w:pos="1935"/>
        </w:tabs>
        <w:spacing w:after="0" w:line="360" w:lineRule="auto"/>
        <w:rPr>
          <w:rFonts w:asciiTheme="majorBidi" w:hAnsiTheme="majorBidi" w:cstheme="majorBidi"/>
          <w:sz w:val="24"/>
          <w:szCs w:val="24"/>
        </w:rPr>
      </w:pPr>
    </w:p>
    <w:p>
      <w:pPr>
        <w:tabs>
          <w:tab w:val="left" w:pos="1935"/>
        </w:tabs>
        <w:spacing w:after="0" w:line="360" w:lineRule="auto"/>
        <w:rPr>
          <w:rFonts w:asciiTheme="majorBidi" w:hAnsiTheme="majorBidi" w:cstheme="majorBidi"/>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Conclusion générale et recommandation :</w:t>
      </w:r>
    </w:p>
    <w:p>
      <w:pPr>
        <w:spacing w:after="0" w:line="360" w:lineRule="auto"/>
        <w:ind w:firstLine="284"/>
        <w:rPr>
          <w:rFonts w:asciiTheme="majorBidi" w:hAnsiTheme="majorBidi" w:cstheme="majorBidi"/>
          <w:sz w:val="24"/>
          <w:szCs w:val="24"/>
        </w:rPr>
      </w:pPr>
      <w:bookmarkStart w:id="0" w:name="_GoBack"/>
      <w:r>
        <w:rPr>
          <w:rFonts w:asciiTheme="majorBidi" w:hAnsiTheme="majorBidi" w:cstheme="majorBidi"/>
          <w:sz w:val="24"/>
          <w:szCs w:val="24"/>
        </w:rPr>
        <w:t>La prise de conscience des problèmes de l’environnement en Algérie est récente. Elle s’est traduite progressivement par la mise en place d’un dispositif institutionnel qui devrait correspondre à la fois à la complexité des problèmes environnementaux générés par le rapide développement des centres urbains et des activités industrielles et aux nouvelles exigences environnementales reconnues par le monde.</w:t>
      </w:r>
    </w:p>
    <w:bookmarkEnd w:id="0"/>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L'alimentation avec une eau de bonne qualité et en quantité abondante pour populations est l'un des projets les plus coûteux et les plus difficile à réaliser, car la non disponibilité d'une eau de bonne qualité d'une part et l'exposition à long terme à des traces des paramètres indésirables contenus dans l'eau d'autre part, peut empêcher le développement d’un pays et même d'une civilisation.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Des stations de traitements des eaux ont été réalisées à chaque barrage en Algérie pour assurer une disponibilité permanente en eau potable, saine et salubre. Et c’est bien le cas du barrage de Kramis à Mostaganem</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 bassin-versant d’Oued Kramis fait partie de plateaux d’Acheacha wilaya de Mostaganem, celle-ci couvre une surface de 300 km</w:t>
      </w:r>
      <w:r>
        <w:rPr>
          <w:rFonts w:asciiTheme="majorBidi" w:hAnsiTheme="majorBidi" w:cstheme="majorBidi"/>
          <w:sz w:val="24"/>
          <w:szCs w:val="24"/>
          <w:vertAlign w:val="superscript"/>
        </w:rPr>
        <w:t>2</w:t>
      </w:r>
      <w:r>
        <w:rPr>
          <w:rFonts w:asciiTheme="majorBidi" w:hAnsiTheme="majorBidi" w:cstheme="majorBidi"/>
          <w:sz w:val="24"/>
          <w:szCs w:val="24"/>
        </w:rPr>
        <w:t>.</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L’esquisse géologique de la région est basé sur des études géologiques des différents géologues tels que : PERRODON 1957, et d’autres. L’analyse des formations de plateaux d’Acheacha du montre que la région est constituée des quatre types de formations du bas en haut :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w:t>
      </w:r>
      <w:r>
        <w:rPr>
          <w:rFonts w:asciiTheme="majorBidi" w:hAnsiTheme="majorBidi" w:cstheme="majorBidi"/>
          <w:sz w:val="24"/>
          <w:szCs w:val="24"/>
        </w:rPr>
        <w:tab/>
      </w:r>
      <w:r>
        <w:rPr>
          <w:rFonts w:asciiTheme="majorBidi" w:hAnsiTheme="majorBidi" w:cstheme="majorBidi"/>
          <w:sz w:val="24"/>
          <w:szCs w:val="24"/>
        </w:rPr>
        <w:t xml:space="preserve">Trias : Il constitué d’argile ou marnes plus ou moins gypseuses et salées.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w:t>
      </w:r>
      <w:r>
        <w:rPr>
          <w:rFonts w:asciiTheme="majorBidi" w:hAnsiTheme="majorBidi" w:cstheme="majorBidi"/>
          <w:sz w:val="24"/>
          <w:szCs w:val="24"/>
        </w:rPr>
        <w:tab/>
      </w:r>
      <w:r>
        <w:rPr>
          <w:rFonts w:asciiTheme="majorBidi" w:hAnsiTheme="majorBidi" w:cstheme="majorBidi"/>
          <w:sz w:val="24"/>
          <w:szCs w:val="24"/>
        </w:rPr>
        <w:t>Le crétacé : Il formé des marnes et des argiles avec de couches de grés quartzitique et des nodules ferrugineuse.</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w:t>
      </w:r>
      <w:r>
        <w:rPr>
          <w:rFonts w:asciiTheme="majorBidi" w:hAnsiTheme="majorBidi" w:cstheme="majorBidi"/>
          <w:sz w:val="24"/>
          <w:szCs w:val="24"/>
        </w:rPr>
        <w:tab/>
      </w:r>
      <w:r>
        <w:rPr>
          <w:rFonts w:asciiTheme="majorBidi" w:hAnsiTheme="majorBidi" w:cstheme="majorBidi"/>
          <w:sz w:val="24"/>
          <w:szCs w:val="24"/>
        </w:rPr>
        <w:t>Miocène: (Miocène inferieure, Miocène supérieure).</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w:t>
      </w:r>
      <w:r>
        <w:rPr>
          <w:rFonts w:asciiTheme="majorBidi" w:hAnsiTheme="majorBidi" w:cstheme="majorBidi"/>
          <w:sz w:val="24"/>
          <w:szCs w:val="24"/>
        </w:rPr>
        <w:tab/>
      </w:r>
      <w:r>
        <w:rPr>
          <w:rFonts w:asciiTheme="majorBidi" w:hAnsiTheme="majorBidi" w:cstheme="majorBidi"/>
          <w:sz w:val="24"/>
          <w:szCs w:val="24"/>
        </w:rPr>
        <w:t xml:space="preserve">Quaternaire : caractérisé par Grès Calabrien et Formation dunaire.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Les précipitations moyennes annuelles sont caractérisées de l’irrégularité au courant des années, elles sont de l’ordre de 300mm à 400 mm tandis que la température moyenne est égal à 17,77°C.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Les vents sont assez réguliers et souvent intenses, surtout pendant l’Hiver et le début de l'été, ceci engendre une forte évaporation et évapotranspiration qui remobilise fortement les plans d'eau des nappes libres peu profondes.</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 ruissellement et L'infiltration représentent respectivement 6.81 % et 4.20 % de la lame d’eau précipitée annuellement.</w:t>
      </w:r>
    </w:p>
    <w:p>
      <w:pPr>
        <w:spacing w:after="0" w:line="360" w:lineRule="auto"/>
        <w:ind w:firstLine="284"/>
      </w:pPr>
      <w:r>
        <w:rPr>
          <w:rFonts w:asciiTheme="majorBidi" w:hAnsiTheme="majorBidi" w:cstheme="majorBidi"/>
          <w:sz w:val="24"/>
          <w:szCs w:val="24"/>
        </w:rPr>
        <w:t>L’étude climatique fait apparaitre que le climat de la région est semi-aride de type méditerranéen à bilan déficitaire.</w:t>
      </w:r>
      <w:r>
        <w:t xml:space="preserve">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 xml:space="preserve">Le bassin-versant d’oued Kramis présente une forme  allongée Kg =  1.20. </w:t>
      </w:r>
      <w:r>
        <w:t xml:space="preserve"> </w:t>
      </w:r>
      <w:r>
        <w:rPr>
          <w:rFonts w:asciiTheme="majorBidi" w:hAnsiTheme="majorBidi" w:cstheme="majorBidi"/>
          <w:sz w:val="24"/>
          <w:szCs w:val="24"/>
        </w:rPr>
        <w:t xml:space="preserve">Avec une altitude moyenne est de 361.34 m. L'étude de la courbe hypsométrique de l'Oued Kramis font ressortir la présence d'importantes variations de pente liée directement à la tectonique et à la nature lithologique des différentes formations.   </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Les eaux de Barrage Kramis destinées à l’AEP de la région Est de la wilaya de Mostaganem peuvent être considérées comme bonnes à passable si bien sur les opérations de désinfection sont bien effectuées.</w:t>
      </w:r>
    </w:p>
    <w:p>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Cette étude nous amène à proposer les recommandations suivantes pour participer à la protection qualitative et quantitative de la ressource en eau de surface, à savoir :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-Maitriser le stockage et l’utilisation des déjections animales et rejets urbains.</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-Convaincre les responsables des services de l’environnement d’instaurer dans la conception des ouvrages d’eau la notion des périmètres de protection notamment ceux réserver aux milieux carbonatés.</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 faire un suivi de l’évolution physico-chimique des différents cations et anions surtout Na</w:t>
      </w:r>
      <w:r>
        <w:rPr>
          <w:rFonts w:asciiTheme="majorBidi" w:hAnsiTheme="majorBidi" w:cstheme="majorBidi"/>
          <w:sz w:val="24"/>
          <w:szCs w:val="24"/>
          <w:vertAlign w:val="superscript"/>
        </w:rPr>
        <w:t xml:space="preserve">+ </w:t>
      </w:r>
      <w:r>
        <w:rPr>
          <w:rFonts w:asciiTheme="majorBidi" w:hAnsiTheme="majorBidi" w:cstheme="majorBidi"/>
          <w:sz w:val="24"/>
          <w:szCs w:val="24"/>
        </w:rPr>
        <w:t>et K</w:t>
      </w:r>
      <w:r>
        <w:rPr>
          <w:rFonts w:asciiTheme="majorBidi" w:hAnsiTheme="majorBidi" w:cstheme="majorBidi"/>
          <w:sz w:val="24"/>
          <w:szCs w:val="24"/>
          <w:vertAlign w:val="superscript"/>
        </w:rPr>
        <w:t>+</w:t>
      </w:r>
      <w:r>
        <w:rPr>
          <w:rFonts w:asciiTheme="majorBidi" w:hAnsiTheme="majorBidi" w:cstheme="majorBidi"/>
          <w:sz w:val="24"/>
          <w:szCs w:val="24"/>
        </w:rPr>
        <w:t xml:space="preserve">, ce qui va permettre à la détermination si vraiment cette eau est bonne pour l’irrigation,   conjointement aux analyses bactériologiques bien détaillée et correcte </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-l’eau de surface destiné pour l’alimentation doit être traité dans une station on point de vu physique et chimique et bactériologique.</w:t>
      </w:r>
    </w:p>
    <w:p>
      <w:pPr>
        <w:spacing w:after="0" w:line="360" w:lineRule="auto"/>
        <w:ind w:firstLine="284"/>
        <w:rPr>
          <w:rFonts w:asciiTheme="majorBidi" w:hAnsiTheme="majorBidi" w:cstheme="majorBidi"/>
          <w:sz w:val="24"/>
          <w:szCs w:val="24"/>
        </w:rPr>
      </w:pPr>
      <w:r>
        <w:rPr>
          <w:rFonts w:asciiTheme="majorBidi" w:hAnsiTheme="majorBidi" w:cstheme="majorBidi"/>
          <w:sz w:val="24"/>
          <w:szCs w:val="24"/>
        </w:rPr>
        <w:t>-l’utilisation de  différentes  techniques modernes de traitement de l’eau potable.</w:t>
      </w:r>
    </w:p>
    <w:p>
      <w:pPr>
        <w:spacing w:line="360" w:lineRule="auto"/>
        <w:rPr>
          <w:rFonts w:asciiTheme="majorBidi" w:hAnsiTheme="majorBidi" w:cstheme="majorBidi"/>
          <w:b/>
          <w:bCs/>
          <w:sz w:val="24"/>
          <w:szCs w:val="24"/>
        </w:rPr>
      </w:pPr>
    </w:p>
    <w:p>
      <w:pPr>
        <w:rPr>
          <w:rFonts w:asciiTheme="majorBidi" w:hAnsiTheme="majorBidi" w:cstheme="majorBidi"/>
          <w:sz w:val="24"/>
          <w:szCs w:val="24"/>
        </w:rPr>
      </w:pPr>
    </w:p>
    <w:p>
      <w:pPr>
        <w:rPr>
          <w:rFonts w:asciiTheme="majorBidi" w:hAnsiTheme="majorBidi" w:cstheme="majorBidi"/>
          <w:sz w:val="24"/>
          <w:szCs w:val="24"/>
        </w:rPr>
      </w:pPr>
    </w:p>
    <w:p>
      <w:pPr>
        <w:tabs>
          <w:tab w:val="left" w:pos="2970"/>
        </w:tabs>
        <w:rPr>
          <w:rFonts w:asciiTheme="majorBidi" w:hAnsiTheme="majorBidi" w:cstheme="majorBidi"/>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autoSpaceDE w:val="0"/>
        <w:autoSpaceDN w:val="0"/>
        <w:adjustRightInd w:val="0"/>
        <w:spacing w:before="100" w:beforeAutospacing="1" w:after="100" w:afterAutospacing="1"/>
        <w:jc w:val="center"/>
        <w:rPr>
          <w:rFonts w:ascii="Times New Roman" w:hAnsi="Times New Roman" w:cs="Times New Roman"/>
          <w:b/>
          <w:bCs/>
          <w:sz w:val="28"/>
          <w:szCs w:val="28"/>
        </w:rPr>
      </w:pPr>
      <w:r>
        <w:rPr>
          <w:rFonts w:ascii="Times New Roman" w:hAnsi="Times New Roman" w:cs="Times New Roman"/>
          <w:b/>
          <w:bCs/>
          <w:sz w:val="28"/>
          <w:szCs w:val="28"/>
        </w:rPr>
        <w:t>Références bibliographiques</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A.D.E :</w:t>
      </w:r>
      <w:r>
        <w:rPr>
          <w:rFonts w:asciiTheme="majorBidi" w:hAnsiTheme="majorBidi" w:cstheme="majorBidi"/>
          <w:sz w:val="24"/>
          <w:szCs w:val="24"/>
        </w:rPr>
        <w:t xml:space="preserve"> Direction Algérie Des Eaux. Mostaganem</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A.N.R.H</w:t>
      </w:r>
      <w:r>
        <w:rPr>
          <w:rFonts w:asciiTheme="majorBidi" w:hAnsiTheme="majorBidi" w:cstheme="majorBidi"/>
          <w:sz w:val="24"/>
          <w:szCs w:val="24"/>
        </w:rPr>
        <w:t xml:space="preserve"> : Agence Nationale des Ressources Hydrauliques </w:t>
      </w:r>
    </w:p>
    <w:p>
      <w:pPr>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 xml:space="preserve">BELARBI O. (2012) : </w:t>
      </w:r>
      <w:r>
        <w:rPr>
          <w:rFonts w:asciiTheme="majorBidi" w:hAnsiTheme="majorBidi" w:cstheme="majorBidi"/>
          <w:sz w:val="24"/>
          <w:szCs w:val="24"/>
        </w:rPr>
        <w:t>l’érosion hydrique dans le bassin versant D’oued Kerrada (sidi ali). Wilaya de Mostaganem. Mém Ing Univ. Oran 112 p.</w:t>
      </w:r>
    </w:p>
    <w:p>
      <w:pPr>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 xml:space="preserve">BELKEBIR L. (1986) : </w:t>
      </w:r>
      <w:r>
        <w:rPr>
          <w:rFonts w:asciiTheme="majorBidi" w:hAnsiTheme="majorBidi" w:cstheme="majorBidi"/>
          <w:sz w:val="24"/>
          <w:szCs w:val="24"/>
        </w:rPr>
        <w:t>le néogène de bordure nord- occidentale du massif du Dahra (Algérie) (bio stratigraphie, Paléogéographie). Thèse Doct Univ Provence,  17,26</w:t>
      </w:r>
      <w:r>
        <w:rPr>
          <w:rFonts w:asciiTheme="majorBidi" w:hAnsiTheme="majorBidi" w:cstheme="majorBidi"/>
          <w:color w:val="FF0000"/>
          <w:sz w:val="24"/>
          <w:szCs w:val="24"/>
        </w:rPr>
        <w:t xml:space="preserve"> </w:t>
      </w:r>
      <w:r>
        <w:rPr>
          <w:rFonts w:asciiTheme="majorBidi" w:hAnsiTheme="majorBidi" w:cstheme="majorBidi"/>
          <w:sz w:val="24"/>
          <w:szCs w:val="24"/>
        </w:rPr>
        <w:t>p</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BENAHMED H.</w:t>
      </w:r>
      <w:r>
        <w:rPr>
          <w:rFonts w:asciiTheme="majorBidi" w:hAnsiTheme="majorBidi" w:cstheme="majorBidi"/>
          <w:sz w:val="24"/>
          <w:szCs w:val="24"/>
        </w:rPr>
        <w:t xml:space="preserve"> (</w:t>
      </w:r>
      <w:r>
        <w:rPr>
          <w:rFonts w:asciiTheme="majorBidi" w:hAnsiTheme="majorBidi" w:cstheme="majorBidi"/>
          <w:b/>
          <w:bCs/>
          <w:sz w:val="24"/>
          <w:szCs w:val="24"/>
        </w:rPr>
        <w:t xml:space="preserve">2015) : </w:t>
      </w:r>
      <w:r>
        <w:rPr>
          <w:rFonts w:eastAsia="Times New Roman,Bold" w:asciiTheme="majorBidi" w:hAnsiTheme="majorBidi" w:cstheme="majorBidi"/>
          <w:sz w:val="24"/>
          <w:szCs w:val="24"/>
        </w:rPr>
        <w:t xml:space="preserve">Valorisation des sédiments d’envasement du barrage de kramis dans le domaine de génie civil. Mém. Magister </w:t>
      </w:r>
      <w:r>
        <w:rPr>
          <w:rFonts w:asciiTheme="majorBidi" w:hAnsiTheme="majorBidi" w:cstheme="majorBidi"/>
          <w:sz w:val="24"/>
          <w:szCs w:val="24"/>
        </w:rPr>
        <w:t>Univ Oran 112 p.</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BENAISSA  R. (2012)</w:t>
      </w:r>
      <w:r>
        <w:rPr>
          <w:rFonts w:asciiTheme="majorBidi" w:hAnsiTheme="majorBidi" w:cstheme="majorBidi"/>
          <w:sz w:val="24"/>
          <w:szCs w:val="24"/>
        </w:rPr>
        <w:t> : Contribution à l’étude hydrogéologique de la région D’Ouarizane. Wilaya De Relizane. Mém. Ing. Univ. Oran 121p</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D.R.E</w:t>
      </w:r>
      <w:r>
        <w:rPr>
          <w:rFonts w:asciiTheme="majorBidi" w:hAnsiTheme="majorBidi" w:cstheme="majorBidi"/>
          <w:sz w:val="24"/>
          <w:szCs w:val="24"/>
        </w:rPr>
        <w:t xml:space="preserve"> : Direction des  Ressources en  Eaux, willaya de Mostaganem. </w:t>
      </w:r>
    </w:p>
    <w:p>
      <w:pPr>
        <w:autoSpaceDE w:val="0"/>
        <w:autoSpaceDN w:val="0"/>
        <w:adjustRightInd w:val="0"/>
        <w:spacing w:after="0" w:line="360" w:lineRule="auto"/>
        <w:rPr>
          <w:rFonts w:asciiTheme="majorBidi" w:hAnsiTheme="majorBidi" w:cstheme="majorBidi"/>
          <w:sz w:val="24"/>
          <w:szCs w:val="24"/>
        </w:rPr>
      </w:pPr>
      <w:r>
        <w:rPr>
          <w:rFonts w:asciiTheme="majorBidi" w:hAnsiTheme="majorBidi" w:cstheme="majorBidi"/>
          <w:b/>
          <w:bCs/>
          <w:sz w:val="24"/>
          <w:szCs w:val="24"/>
        </w:rPr>
        <w:t>DALLONI  M. (1952) :</w:t>
      </w:r>
      <w:r>
        <w:rPr>
          <w:rFonts w:asciiTheme="majorBidi" w:hAnsiTheme="majorBidi" w:cstheme="majorBidi"/>
          <w:sz w:val="24"/>
          <w:szCs w:val="24"/>
        </w:rPr>
        <w:t xml:space="preserve">L’Atlas tellien occidental  </w:t>
      </w:r>
      <w:r>
        <w:rPr>
          <w:rFonts w:asciiTheme="majorBidi" w:hAnsiTheme="majorBidi" w:cstheme="majorBidi"/>
          <w:i/>
          <w:iCs/>
          <w:sz w:val="24"/>
          <w:szCs w:val="24"/>
        </w:rPr>
        <w:t xml:space="preserve">Publication du XIXe Congrès international de Géologie, </w:t>
      </w:r>
      <w:r>
        <w:rPr>
          <w:rFonts w:asciiTheme="majorBidi" w:hAnsiTheme="majorBidi" w:cstheme="majorBidi"/>
          <w:sz w:val="24"/>
          <w:szCs w:val="24"/>
        </w:rPr>
        <w:t>Alger, Monographie</w:t>
      </w:r>
      <w:r>
        <w:rPr>
          <w:rFonts w:asciiTheme="majorBidi" w:hAnsiTheme="majorBidi" w:cstheme="majorBidi"/>
          <w:i/>
          <w:iCs/>
          <w:sz w:val="24"/>
          <w:szCs w:val="24"/>
        </w:rPr>
        <w:t xml:space="preserve"> régionale, série 1, </w:t>
      </w:r>
      <w:r>
        <w:rPr>
          <w:rFonts w:asciiTheme="majorBidi" w:hAnsiTheme="majorBidi" w:cstheme="majorBidi"/>
          <w:sz w:val="24"/>
          <w:szCs w:val="24"/>
        </w:rPr>
        <w:t xml:space="preserve">100. p   -     </w:t>
      </w:r>
    </w:p>
    <w:p>
      <w:pPr>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DJELTI I. (2007)</w:t>
      </w:r>
      <w:r>
        <w:rPr>
          <w:rFonts w:asciiTheme="majorBidi" w:hAnsiTheme="majorBidi" w:cstheme="majorBidi"/>
          <w:sz w:val="24"/>
          <w:szCs w:val="24"/>
        </w:rPr>
        <w:t> : Contribution à l’étude hydrogéologique du synclinal de Bouguirat (wilaya de Mostaganem). Mém Ing .Univ. Oran.  125 p.</w:t>
      </w:r>
    </w:p>
    <w:p>
      <w:pPr>
        <w:autoSpaceDE w:val="0"/>
        <w:autoSpaceDN w:val="0"/>
        <w:adjustRightInd w:val="0"/>
        <w:spacing w:before="100" w:beforeAutospacing="1" w:after="100" w:afterAutospacing="1"/>
        <w:rPr>
          <w:rFonts w:asciiTheme="majorBidi" w:hAnsiTheme="majorBidi" w:cstheme="majorBidi"/>
          <w:b/>
          <w:bCs/>
          <w:sz w:val="24"/>
          <w:szCs w:val="24"/>
        </w:rPr>
      </w:pPr>
      <w:r>
        <w:rPr>
          <w:rFonts w:asciiTheme="majorBidi" w:hAnsiTheme="majorBidi" w:cstheme="majorBidi"/>
          <w:b/>
          <w:bCs/>
          <w:sz w:val="24"/>
          <w:szCs w:val="24"/>
        </w:rPr>
        <w:t xml:space="preserve">FELLAH  S. (2014) : </w:t>
      </w:r>
      <w:r>
        <w:rPr>
          <w:rFonts w:asciiTheme="majorBidi" w:hAnsiTheme="majorBidi" w:cstheme="majorBidi"/>
          <w:sz w:val="24"/>
          <w:szCs w:val="24"/>
        </w:rPr>
        <w:t xml:space="preserve">La dégradation du couvert végétal forestière et ses effets sur le milieu cas de la commune de Khadra wilaya de Mostaganem. Mém Ing Univ. Oran, 74 p. </w:t>
      </w:r>
    </w:p>
    <w:p>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b/>
          <w:bCs/>
          <w:sz w:val="24"/>
          <w:szCs w:val="24"/>
        </w:rPr>
        <w:t xml:space="preserve">KAZI TANI N. (1986) : </w:t>
      </w:r>
      <w:r>
        <w:rPr>
          <w:rFonts w:asciiTheme="majorBidi" w:hAnsiTheme="majorBidi" w:cstheme="majorBidi"/>
          <w:sz w:val="24"/>
          <w:szCs w:val="24"/>
        </w:rPr>
        <w:t>«Evolution géodynamique de la bordure nord-africain ; le domaine intra plaque nord-algérien ; approche méga séquentielle » Thèse 3eme cycle, Université de Pau, France.</w:t>
      </w:r>
    </w:p>
    <w:p>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b/>
          <w:bCs/>
          <w:sz w:val="24"/>
          <w:szCs w:val="24"/>
        </w:rPr>
        <w:t>LADJADJ Y. (2009) :</w:t>
      </w:r>
      <w:r>
        <w:rPr>
          <w:rFonts w:asciiTheme="majorBidi" w:hAnsiTheme="majorBidi" w:cstheme="majorBidi"/>
          <w:sz w:val="24"/>
          <w:szCs w:val="24"/>
        </w:rPr>
        <w:t xml:space="preserve"> Etude structurale du bassin du bas Chellif à partir des données</w:t>
      </w:r>
    </w:p>
    <w:p>
      <w:pPr>
        <w:autoSpaceDE w:val="0"/>
        <w:autoSpaceDN w:val="0"/>
        <w:adjustRightInd w:val="0"/>
        <w:spacing w:line="240" w:lineRule="auto"/>
        <w:rPr>
          <w:rFonts w:asciiTheme="majorBidi" w:hAnsiTheme="majorBidi" w:cstheme="majorBidi"/>
          <w:sz w:val="24"/>
          <w:szCs w:val="24"/>
          <w:lang w:val="en-US"/>
        </w:rPr>
      </w:pPr>
      <w:r>
        <w:rPr>
          <w:rFonts w:asciiTheme="majorBidi" w:hAnsiTheme="majorBidi" w:cstheme="majorBidi"/>
          <w:sz w:val="24"/>
          <w:szCs w:val="24"/>
        </w:rPr>
        <w:t xml:space="preserve">Gravimétriques, magnétiques et sismiques. Mém. Magist. </w:t>
      </w:r>
      <w:r>
        <w:rPr>
          <w:rFonts w:asciiTheme="majorBidi" w:hAnsiTheme="majorBidi" w:cstheme="majorBidi"/>
          <w:sz w:val="24"/>
          <w:szCs w:val="24"/>
          <w:lang w:val="en-US"/>
        </w:rPr>
        <w:t>Univ. Ferhat Abbas – Setif 86 p.</w:t>
      </w:r>
    </w:p>
    <w:p>
      <w:pPr>
        <w:autoSpaceDE w:val="0"/>
        <w:autoSpaceDN w:val="0"/>
        <w:adjustRightInd w:val="0"/>
        <w:spacing w:line="240" w:lineRule="auto"/>
        <w:rPr>
          <w:rFonts w:asciiTheme="majorBidi" w:hAnsiTheme="majorBidi" w:cstheme="majorBidi"/>
          <w:sz w:val="24"/>
          <w:szCs w:val="24"/>
          <w:lang w:val="en-US"/>
        </w:rPr>
      </w:pPr>
      <w:r>
        <w:rPr>
          <w:rFonts w:asciiTheme="majorBidi" w:hAnsiTheme="majorBidi" w:cstheme="majorBidi"/>
          <w:b/>
          <w:bCs/>
          <w:sz w:val="24"/>
          <w:szCs w:val="24"/>
          <w:lang w:val="en-US"/>
        </w:rPr>
        <w:t xml:space="preserve"> MEGHRAOUI M &amp; DOUMAZ F. (1996):</w:t>
      </w:r>
      <w:r>
        <w:rPr>
          <w:rFonts w:asciiTheme="majorBidi" w:hAnsiTheme="majorBidi" w:cstheme="majorBidi"/>
          <w:sz w:val="24"/>
          <w:szCs w:val="24"/>
          <w:lang w:val="en-US"/>
        </w:rPr>
        <w:t xml:space="preserve"> Earthquake-induced flooding and paleoseismicity of the El Asnam (Algeria) fault-relatedfold » J.Geophys. Res., 101, 17617-17644</w:t>
      </w:r>
    </w:p>
    <w:p>
      <w:pPr>
        <w:spacing w:after="0" w:line="360" w:lineRule="auto"/>
        <w:rPr>
          <w:rFonts w:asciiTheme="majorBidi" w:hAnsiTheme="majorBidi" w:cstheme="majorBidi"/>
          <w:sz w:val="24"/>
          <w:szCs w:val="24"/>
        </w:rPr>
      </w:pPr>
      <w:r>
        <w:rPr>
          <w:rFonts w:asciiTheme="majorBidi" w:hAnsiTheme="majorBidi" w:cstheme="majorBidi"/>
          <w:b/>
          <w:bCs/>
          <w:sz w:val="24"/>
          <w:szCs w:val="24"/>
        </w:rPr>
        <w:t xml:space="preserve">OTHMANI M &amp; BAARBI  O. (2015) : </w:t>
      </w:r>
      <w:r>
        <w:rPr>
          <w:rFonts w:asciiTheme="majorBidi" w:hAnsiTheme="majorBidi" w:cstheme="majorBidi"/>
          <w:sz w:val="24"/>
          <w:szCs w:val="24"/>
        </w:rPr>
        <w:t>Apport de la géophysique à l’étude hydrogéologique de la nappe du continental intercalaire de la région d’Aoulef (Adrar). Mém Ing. Univ Oran  118p.</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 xml:space="preserve">PERRODON A.(1957) : </w:t>
      </w:r>
      <w:r>
        <w:rPr>
          <w:rFonts w:asciiTheme="majorBidi" w:hAnsiTheme="majorBidi" w:cstheme="majorBidi"/>
          <w:sz w:val="24"/>
          <w:szCs w:val="24"/>
        </w:rPr>
        <w:t xml:space="preserve">étude géologique des bassins néogènes sublittoraux de l’Algérie occidentale. Service de la carte géologique de l’Algérie </w:t>
      </w:r>
      <w:r>
        <w:rPr>
          <w:rFonts w:asciiTheme="majorBidi" w:hAnsiTheme="majorBidi" w:cstheme="majorBidi"/>
          <w:b/>
          <w:bCs/>
          <w:i/>
          <w:iCs/>
          <w:sz w:val="24"/>
          <w:szCs w:val="24"/>
        </w:rPr>
        <w:t>édit</w:t>
      </w:r>
      <w:r>
        <w:rPr>
          <w:rFonts w:asciiTheme="majorBidi" w:hAnsiTheme="majorBidi" w:cstheme="majorBidi"/>
          <w:sz w:val="24"/>
          <w:szCs w:val="24"/>
        </w:rPr>
        <w:t xml:space="preserve"> Algérie 323 p</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SLIMANI N. (2015)</w:t>
      </w:r>
      <w:r>
        <w:rPr>
          <w:rFonts w:asciiTheme="majorBidi" w:hAnsiTheme="majorBidi" w:cstheme="majorBidi"/>
          <w:sz w:val="24"/>
          <w:szCs w:val="24"/>
        </w:rPr>
        <w:t> : eaux potables de production de l’Oranie : suivi qualitatif Mém. Master II  Univ. Oran  65p.</w:t>
      </w:r>
    </w:p>
    <w:p>
      <w:pPr>
        <w:autoSpaceDE w:val="0"/>
        <w:autoSpaceDN w:val="0"/>
        <w:adjustRightInd w:val="0"/>
        <w:spacing w:line="240" w:lineRule="auto"/>
        <w:rPr>
          <w:rFonts w:ascii="TimesNewRoman,Italic" w:hAnsi="TimesNewRoman,Italic" w:cs="TimesNewRoman,Italic"/>
          <w:sz w:val="26"/>
          <w:szCs w:val="26"/>
        </w:rPr>
      </w:pPr>
      <w:r>
        <w:rPr>
          <w:rFonts w:asciiTheme="majorBidi" w:hAnsiTheme="majorBidi" w:cstheme="majorBidi"/>
          <w:b/>
          <w:bCs/>
          <w:sz w:val="24"/>
          <w:szCs w:val="24"/>
        </w:rPr>
        <w:t>TRESCARTES J. (1992) :</w:t>
      </w:r>
      <w:r>
        <w:rPr>
          <w:rFonts w:asciiTheme="majorBidi" w:hAnsiTheme="majorBidi" w:cstheme="majorBidi"/>
          <w:sz w:val="24"/>
          <w:szCs w:val="24"/>
        </w:rPr>
        <w:t xml:space="preserve"> Etude du remplissage sédimentaire du bassin Néogène du Chélif, modèle de référence de bassin intra montagneux » Thèse de Doct  Etat, Univ </w:t>
      </w:r>
      <w:r>
        <w:rPr>
          <w:rFonts w:ascii="TimesNewRoman,Italic" w:hAnsi="TimesNewRoman,Italic" w:cs="TimesNewRoman,Italic"/>
          <w:sz w:val="26"/>
          <w:szCs w:val="26"/>
        </w:rPr>
        <w:t>Pau</w:t>
      </w:r>
      <w:r>
        <w:rPr>
          <w:rFonts w:asciiTheme="majorBidi" w:hAnsiTheme="majorBidi" w:cstheme="majorBidi"/>
          <w:sz w:val="24"/>
          <w:szCs w:val="24"/>
        </w:rPr>
        <w:t xml:space="preserve"> </w:t>
      </w:r>
      <w:r>
        <w:rPr>
          <w:rFonts w:ascii="TimesNewRoman,Italic" w:hAnsi="TimesNewRoman,Italic" w:cs="TimesNewRoman,Italic"/>
          <w:sz w:val="26"/>
          <w:szCs w:val="26"/>
        </w:rPr>
        <w:t>et des Pays de l’Adour UPPA, France.</w:t>
      </w:r>
    </w:p>
    <w:p>
      <w:pPr>
        <w:autoSpaceDE w:val="0"/>
        <w:autoSpaceDN w:val="0"/>
        <w:adjustRightInd w:val="0"/>
        <w:spacing w:after="0" w:line="360" w:lineRule="auto"/>
        <w:rPr>
          <w:rFonts w:asciiTheme="majorBidi" w:hAnsiTheme="majorBidi" w:cstheme="majorBidi"/>
          <w:sz w:val="24"/>
          <w:szCs w:val="24"/>
        </w:rPr>
      </w:pPr>
    </w:p>
    <w:p>
      <w:pPr>
        <w:autoSpaceDE w:val="0"/>
        <w:autoSpaceDN w:val="0"/>
        <w:adjustRightInd w:val="0"/>
        <w:spacing w:before="100" w:beforeAutospacing="1" w:after="100" w:afterAutospacing="1"/>
        <w:rPr>
          <w:rFonts w:ascii="Times New Roman" w:hAnsi="Times New Roman" w:cs="Times New Roman"/>
          <w:sz w:val="24"/>
          <w:szCs w:val="24"/>
        </w:rPr>
      </w:pPr>
    </w:p>
    <w:p>
      <w:pPr>
        <w:autoSpaceDE w:val="0"/>
        <w:autoSpaceDN w:val="0"/>
        <w:adjustRightInd w:val="0"/>
        <w:spacing w:before="100" w:beforeAutospacing="1" w:after="100" w:afterAutospacing="1"/>
        <w:rPr>
          <w:rFonts w:asciiTheme="majorBidi" w:hAnsiTheme="majorBidi" w:cstheme="majorBidi"/>
          <w:b/>
          <w:bCs/>
          <w:sz w:val="24"/>
          <w:szCs w:val="24"/>
        </w:rPr>
      </w:pPr>
      <w:r>
        <w:rPr>
          <w:rFonts w:asciiTheme="majorBidi" w:hAnsiTheme="majorBidi" w:cstheme="majorBidi"/>
          <w:b/>
          <w:bCs/>
          <w:sz w:val="24"/>
          <w:szCs w:val="24"/>
        </w:rPr>
        <w:t>Webographie :</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sz w:val="24"/>
          <w:szCs w:val="24"/>
        </w:rPr>
        <w:t>http://www.olympiades-chimie.fr/documentation_habitat/docresin.doc</w:t>
      </w:r>
    </w:p>
    <w:p>
      <w:pPr>
        <w:autoSpaceDE w:val="0"/>
        <w:autoSpaceDN w:val="0"/>
        <w:adjustRightInd w:val="0"/>
        <w:spacing w:before="100" w:beforeAutospacing="1" w:after="100" w:afterAutospacing="1"/>
        <w:jc w:val="center"/>
        <w:rPr>
          <w:rFonts w:ascii="Times New Roman" w:hAnsi="Times New Roman" w:cs="Times New Roman"/>
          <w:b/>
          <w:bCs/>
          <w:sz w:val="28"/>
          <w:szCs w:val="28"/>
        </w:rPr>
      </w:pPr>
      <w:r>
        <w:rPr>
          <w:rFonts w:asciiTheme="majorBidi" w:hAnsiTheme="majorBidi" w:cstheme="majorBidi"/>
          <w:sz w:val="24"/>
          <w:szCs w:val="24"/>
        </w:rPr>
        <w:t>http://www.lenntech.fr</w:t>
      </w:r>
      <w:r>
        <w:rPr>
          <w:rFonts w:ascii="Times New Roman" w:hAnsi="Times New Roman" w:cs="Times New Roman"/>
          <w:b/>
          <w:bCs/>
          <w:sz w:val="28"/>
          <w:szCs w:val="28"/>
        </w:rPr>
        <w:t>Références bibliographiques</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A.D.E :</w:t>
      </w:r>
      <w:r>
        <w:rPr>
          <w:rFonts w:asciiTheme="majorBidi" w:hAnsiTheme="majorBidi" w:cstheme="majorBidi"/>
          <w:sz w:val="24"/>
          <w:szCs w:val="24"/>
        </w:rPr>
        <w:t xml:space="preserve"> Direction Algérie Des Eaux. Mostaganem</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A.N.R.H</w:t>
      </w:r>
      <w:r>
        <w:rPr>
          <w:rFonts w:asciiTheme="majorBidi" w:hAnsiTheme="majorBidi" w:cstheme="majorBidi"/>
          <w:sz w:val="24"/>
          <w:szCs w:val="24"/>
        </w:rPr>
        <w:t xml:space="preserve"> : Agence Nationale des Ressources Hydrauliques </w:t>
      </w:r>
    </w:p>
    <w:p>
      <w:pPr>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 xml:space="preserve">BELARBI O. (2012) : </w:t>
      </w:r>
      <w:r>
        <w:rPr>
          <w:rFonts w:asciiTheme="majorBidi" w:hAnsiTheme="majorBidi" w:cstheme="majorBidi"/>
          <w:sz w:val="24"/>
          <w:szCs w:val="24"/>
        </w:rPr>
        <w:t>l’érosion hydrique dans le bassin versant D’oued Kerrada (sidi ali). Wilaya de Mostaganem. Mém Ing Univ. Oran 112 p.</w:t>
      </w:r>
    </w:p>
    <w:p>
      <w:pPr>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 xml:space="preserve">BELKEBIR L. (1986) : </w:t>
      </w:r>
      <w:r>
        <w:rPr>
          <w:rFonts w:asciiTheme="majorBidi" w:hAnsiTheme="majorBidi" w:cstheme="majorBidi"/>
          <w:sz w:val="24"/>
          <w:szCs w:val="24"/>
        </w:rPr>
        <w:t>le néogène de bordure nord- occidentale du massif du Dahra (Algérie) (bio stratigraphie, Paléogéographie). Thèse Doct Univ Provence,  17,26</w:t>
      </w:r>
      <w:r>
        <w:rPr>
          <w:rFonts w:asciiTheme="majorBidi" w:hAnsiTheme="majorBidi" w:cstheme="majorBidi"/>
          <w:color w:val="FF0000"/>
          <w:sz w:val="24"/>
          <w:szCs w:val="24"/>
        </w:rPr>
        <w:t xml:space="preserve"> </w:t>
      </w:r>
      <w:r>
        <w:rPr>
          <w:rFonts w:asciiTheme="majorBidi" w:hAnsiTheme="majorBidi" w:cstheme="majorBidi"/>
          <w:sz w:val="24"/>
          <w:szCs w:val="24"/>
        </w:rPr>
        <w:t>p</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BENAHMED H.</w:t>
      </w:r>
      <w:r>
        <w:rPr>
          <w:rFonts w:asciiTheme="majorBidi" w:hAnsiTheme="majorBidi" w:cstheme="majorBidi"/>
          <w:sz w:val="24"/>
          <w:szCs w:val="24"/>
        </w:rPr>
        <w:t xml:space="preserve"> (</w:t>
      </w:r>
      <w:r>
        <w:rPr>
          <w:rFonts w:asciiTheme="majorBidi" w:hAnsiTheme="majorBidi" w:cstheme="majorBidi"/>
          <w:b/>
          <w:bCs/>
          <w:sz w:val="24"/>
          <w:szCs w:val="24"/>
        </w:rPr>
        <w:t xml:space="preserve">2015) : </w:t>
      </w:r>
      <w:r>
        <w:rPr>
          <w:rFonts w:eastAsia="Times New Roman,Bold" w:asciiTheme="majorBidi" w:hAnsiTheme="majorBidi" w:cstheme="majorBidi"/>
          <w:sz w:val="24"/>
          <w:szCs w:val="24"/>
        </w:rPr>
        <w:t xml:space="preserve">Valorisation des sédiments d’envasement du barrage de kramis dans le domaine de génie civil. Mém. Magister </w:t>
      </w:r>
      <w:r>
        <w:rPr>
          <w:rFonts w:asciiTheme="majorBidi" w:hAnsiTheme="majorBidi" w:cstheme="majorBidi"/>
          <w:sz w:val="24"/>
          <w:szCs w:val="24"/>
        </w:rPr>
        <w:t>Univ Oran 112 p.</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BENAISSA  R. (2012)</w:t>
      </w:r>
      <w:r>
        <w:rPr>
          <w:rFonts w:asciiTheme="majorBidi" w:hAnsiTheme="majorBidi" w:cstheme="majorBidi"/>
          <w:sz w:val="24"/>
          <w:szCs w:val="24"/>
        </w:rPr>
        <w:t> : Contribution à l’étude hydrogéologique de la région D’Ouarizane. Wilaya De Relizane. Mém. Ing. Univ. Oran 121p</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D.R.E</w:t>
      </w:r>
      <w:r>
        <w:rPr>
          <w:rFonts w:asciiTheme="majorBidi" w:hAnsiTheme="majorBidi" w:cstheme="majorBidi"/>
          <w:sz w:val="24"/>
          <w:szCs w:val="24"/>
        </w:rPr>
        <w:t xml:space="preserve"> : Direction des  Ressources en  Eaux, willaya de Mostaganem. </w:t>
      </w:r>
    </w:p>
    <w:p>
      <w:pPr>
        <w:autoSpaceDE w:val="0"/>
        <w:autoSpaceDN w:val="0"/>
        <w:adjustRightInd w:val="0"/>
        <w:spacing w:after="0" w:line="360" w:lineRule="auto"/>
        <w:rPr>
          <w:rFonts w:asciiTheme="majorBidi" w:hAnsiTheme="majorBidi" w:cstheme="majorBidi"/>
          <w:sz w:val="24"/>
          <w:szCs w:val="24"/>
        </w:rPr>
      </w:pPr>
      <w:r>
        <w:rPr>
          <w:rFonts w:asciiTheme="majorBidi" w:hAnsiTheme="majorBidi" w:cstheme="majorBidi"/>
          <w:b/>
          <w:bCs/>
          <w:sz w:val="24"/>
          <w:szCs w:val="24"/>
        </w:rPr>
        <w:t>DALLONI  M. (1952) :</w:t>
      </w:r>
      <w:r>
        <w:rPr>
          <w:rFonts w:asciiTheme="majorBidi" w:hAnsiTheme="majorBidi" w:cstheme="majorBidi"/>
          <w:sz w:val="24"/>
          <w:szCs w:val="24"/>
        </w:rPr>
        <w:t xml:space="preserve">L’Atlas tellien occidental  </w:t>
      </w:r>
      <w:r>
        <w:rPr>
          <w:rFonts w:asciiTheme="majorBidi" w:hAnsiTheme="majorBidi" w:cstheme="majorBidi"/>
          <w:i/>
          <w:iCs/>
          <w:sz w:val="24"/>
          <w:szCs w:val="24"/>
        </w:rPr>
        <w:t xml:space="preserve">Publication du XIXe Congrès international de Géologie, </w:t>
      </w:r>
      <w:r>
        <w:rPr>
          <w:rFonts w:asciiTheme="majorBidi" w:hAnsiTheme="majorBidi" w:cstheme="majorBidi"/>
          <w:sz w:val="24"/>
          <w:szCs w:val="24"/>
        </w:rPr>
        <w:t>Alger, Monographie</w:t>
      </w:r>
      <w:r>
        <w:rPr>
          <w:rFonts w:asciiTheme="majorBidi" w:hAnsiTheme="majorBidi" w:cstheme="majorBidi"/>
          <w:i/>
          <w:iCs/>
          <w:sz w:val="24"/>
          <w:szCs w:val="24"/>
        </w:rPr>
        <w:t xml:space="preserve"> régionale, série 1, </w:t>
      </w:r>
      <w:r>
        <w:rPr>
          <w:rFonts w:asciiTheme="majorBidi" w:hAnsiTheme="majorBidi" w:cstheme="majorBidi"/>
          <w:sz w:val="24"/>
          <w:szCs w:val="24"/>
        </w:rPr>
        <w:t xml:space="preserve">100. p   -     </w:t>
      </w:r>
    </w:p>
    <w:p>
      <w:pPr>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DJELTI I. (2007)</w:t>
      </w:r>
      <w:r>
        <w:rPr>
          <w:rFonts w:asciiTheme="majorBidi" w:hAnsiTheme="majorBidi" w:cstheme="majorBidi"/>
          <w:sz w:val="24"/>
          <w:szCs w:val="24"/>
        </w:rPr>
        <w:t> : Contribution à l’étude hydrogéologique du synclinal de Bouguirat (wilaya de Mostaganem). Mém Ing .Univ. Oran.  125 p.</w:t>
      </w:r>
    </w:p>
    <w:p>
      <w:pPr>
        <w:autoSpaceDE w:val="0"/>
        <w:autoSpaceDN w:val="0"/>
        <w:adjustRightInd w:val="0"/>
        <w:spacing w:before="100" w:beforeAutospacing="1" w:after="100" w:afterAutospacing="1"/>
        <w:rPr>
          <w:rFonts w:asciiTheme="majorBidi" w:hAnsiTheme="majorBidi" w:cstheme="majorBidi"/>
          <w:b/>
          <w:bCs/>
          <w:sz w:val="24"/>
          <w:szCs w:val="24"/>
        </w:rPr>
      </w:pPr>
      <w:r>
        <w:rPr>
          <w:rFonts w:asciiTheme="majorBidi" w:hAnsiTheme="majorBidi" w:cstheme="majorBidi"/>
          <w:b/>
          <w:bCs/>
          <w:sz w:val="24"/>
          <w:szCs w:val="24"/>
        </w:rPr>
        <w:t xml:space="preserve">FELLAH  S. (2014) : </w:t>
      </w:r>
      <w:r>
        <w:rPr>
          <w:rFonts w:asciiTheme="majorBidi" w:hAnsiTheme="majorBidi" w:cstheme="majorBidi"/>
          <w:sz w:val="24"/>
          <w:szCs w:val="24"/>
        </w:rPr>
        <w:t xml:space="preserve">La dégradation du couvert végétal forestière et ses effets sur le milieu cas de la commune de Khadra wilaya de Mostaganem. Mém Ing Univ. Oran, 74 p. </w:t>
      </w:r>
    </w:p>
    <w:p>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b/>
          <w:bCs/>
          <w:sz w:val="24"/>
          <w:szCs w:val="24"/>
        </w:rPr>
        <w:t xml:space="preserve">KAZI TANI N. (1986) : </w:t>
      </w:r>
      <w:r>
        <w:rPr>
          <w:rFonts w:asciiTheme="majorBidi" w:hAnsiTheme="majorBidi" w:cstheme="majorBidi"/>
          <w:sz w:val="24"/>
          <w:szCs w:val="24"/>
        </w:rPr>
        <w:t>«Evolution géodynamique de la bordure nord-africain ; le domaine intra plaque nord-algérien ; approche méga séquentielle » Thèse 3eme cycle, Université de Pau, France.</w:t>
      </w:r>
    </w:p>
    <w:p>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b/>
          <w:bCs/>
          <w:sz w:val="24"/>
          <w:szCs w:val="24"/>
        </w:rPr>
        <w:t>LADJADJ Y. (2009) :</w:t>
      </w:r>
      <w:r>
        <w:rPr>
          <w:rFonts w:asciiTheme="majorBidi" w:hAnsiTheme="majorBidi" w:cstheme="majorBidi"/>
          <w:sz w:val="24"/>
          <w:szCs w:val="24"/>
        </w:rPr>
        <w:t xml:space="preserve"> Etude structurale du bassin du bas Chellif à partir des données</w:t>
      </w:r>
    </w:p>
    <w:p>
      <w:pPr>
        <w:autoSpaceDE w:val="0"/>
        <w:autoSpaceDN w:val="0"/>
        <w:adjustRightInd w:val="0"/>
        <w:spacing w:line="240" w:lineRule="auto"/>
        <w:rPr>
          <w:rFonts w:asciiTheme="majorBidi" w:hAnsiTheme="majorBidi" w:cstheme="majorBidi"/>
          <w:sz w:val="24"/>
          <w:szCs w:val="24"/>
          <w:lang w:val="en-US"/>
        </w:rPr>
      </w:pPr>
      <w:r>
        <w:rPr>
          <w:rFonts w:asciiTheme="majorBidi" w:hAnsiTheme="majorBidi" w:cstheme="majorBidi"/>
          <w:sz w:val="24"/>
          <w:szCs w:val="24"/>
        </w:rPr>
        <w:t xml:space="preserve">Gravimétriques, magnétiques et sismiques. Mém. Magist. </w:t>
      </w:r>
      <w:r>
        <w:rPr>
          <w:rFonts w:asciiTheme="majorBidi" w:hAnsiTheme="majorBidi" w:cstheme="majorBidi"/>
          <w:sz w:val="24"/>
          <w:szCs w:val="24"/>
          <w:lang w:val="en-US"/>
        </w:rPr>
        <w:t>Univ. Ferhat Abbas – Setif 86 p.</w:t>
      </w:r>
    </w:p>
    <w:p>
      <w:pPr>
        <w:autoSpaceDE w:val="0"/>
        <w:autoSpaceDN w:val="0"/>
        <w:adjustRightInd w:val="0"/>
        <w:spacing w:line="240" w:lineRule="auto"/>
        <w:rPr>
          <w:rFonts w:asciiTheme="majorBidi" w:hAnsiTheme="majorBidi" w:cstheme="majorBidi"/>
          <w:sz w:val="24"/>
          <w:szCs w:val="24"/>
          <w:lang w:val="en-US"/>
        </w:rPr>
      </w:pPr>
      <w:r>
        <w:rPr>
          <w:rFonts w:asciiTheme="majorBidi" w:hAnsiTheme="majorBidi" w:cstheme="majorBidi"/>
          <w:b/>
          <w:bCs/>
          <w:sz w:val="24"/>
          <w:szCs w:val="24"/>
          <w:lang w:val="en-US"/>
        </w:rPr>
        <w:t xml:space="preserve"> MEGHRAOUI M &amp; DOUMAZ F. (1996):</w:t>
      </w:r>
      <w:r>
        <w:rPr>
          <w:rFonts w:asciiTheme="majorBidi" w:hAnsiTheme="majorBidi" w:cstheme="majorBidi"/>
          <w:sz w:val="24"/>
          <w:szCs w:val="24"/>
          <w:lang w:val="en-US"/>
        </w:rPr>
        <w:t xml:space="preserve"> Earthquake-induced flooding and paleoseismicity of the El Asnam (Algeria) fault-relatedfold » J.Geophys. Res., 101, 17617-17644</w:t>
      </w:r>
    </w:p>
    <w:p>
      <w:pPr>
        <w:spacing w:after="0" w:line="360" w:lineRule="auto"/>
        <w:rPr>
          <w:rFonts w:asciiTheme="majorBidi" w:hAnsiTheme="majorBidi" w:cstheme="majorBidi"/>
          <w:sz w:val="24"/>
          <w:szCs w:val="24"/>
        </w:rPr>
      </w:pPr>
      <w:r>
        <w:rPr>
          <w:rFonts w:asciiTheme="majorBidi" w:hAnsiTheme="majorBidi" w:cstheme="majorBidi"/>
          <w:b/>
          <w:bCs/>
          <w:sz w:val="24"/>
          <w:szCs w:val="24"/>
        </w:rPr>
        <w:t xml:space="preserve">OTHMANI M &amp; BAARBI  O. (2015) : </w:t>
      </w:r>
      <w:r>
        <w:rPr>
          <w:rFonts w:asciiTheme="majorBidi" w:hAnsiTheme="majorBidi" w:cstheme="majorBidi"/>
          <w:sz w:val="24"/>
          <w:szCs w:val="24"/>
        </w:rPr>
        <w:t>Apport de la géophysique à l’étude hydrogéologique de la nappe du continental intercalaire de la région d’Aoulef (Adrar). Mém Ing. Univ Oran  118p.</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 xml:space="preserve">PERRODON A.(1957) : </w:t>
      </w:r>
      <w:r>
        <w:rPr>
          <w:rFonts w:asciiTheme="majorBidi" w:hAnsiTheme="majorBidi" w:cstheme="majorBidi"/>
          <w:sz w:val="24"/>
          <w:szCs w:val="24"/>
        </w:rPr>
        <w:t xml:space="preserve">étude géologique des bassins néogènes sublittoraux de l’Algérie occidentale. Service de la carte géologique de l’Algérie </w:t>
      </w:r>
      <w:r>
        <w:rPr>
          <w:rFonts w:asciiTheme="majorBidi" w:hAnsiTheme="majorBidi" w:cstheme="majorBidi"/>
          <w:b/>
          <w:bCs/>
          <w:i/>
          <w:iCs/>
          <w:sz w:val="24"/>
          <w:szCs w:val="24"/>
        </w:rPr>
        <w:t>édit</w:t>
      </w:r>
      <w:r>
        <w:rPr>
          <w:rFonts w:asciiTheme="majorBidi" w:hAnsiTheme="majorBidi" w:cstheme="majorBidi"/>
          <w:sz w:val="24"/>
          <w:szCs w:val="24"/>
        </w:rPr>
        <w:t xml:space="preserve"> Algérie 323 p</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b/>
          <w:bCs/>
          <w:sz w:val="24"/>
          <w:szCs w:val="24"/>
        </w:rPr>
        <w:t>SLIMANI N. (2015)</w:t>
      </w:r>
      <w:r>
        <w:rPr>
          <w:rFonts w:asciiTheme="majorBidi" w:hAnsiTheme="majorBidi" w:cstheme="majorBidi"/>
          <w:sz w:val="24"/>
          <w:szCs w:val="24"/>
        </w:rPr>
        <w:t> : eaux potables de production de l’Oranie : suivi qualitatif Mém. Master II  Univ. Oran  65p.</w:t>
      </w:r>
    </w:p>
    <w:p>
      <w:pPr>
        <w:autoSpaceDE w:val="0"/>
        <w:autoSpaceDN w:val="0"/>
        <w:adjustRightInd w:val="0"/>
        <w:spacing w:line="240" w:lineRule="auto"/>
        <w:rPr>
          <w:rFonts w:ascii="TimesNewRoman,Italic" w:hAnsi="TimesNewRoman,Italic" w:cs="TimesNewRoman,Italic"/>
          <w:sz w:val="26"/>
          <w:szCs w:val="26"/>
        </w:rPr>
      </w:pPr>
      <w:r>
        <w:rPr>
          <w:rFonts w:asciiTheme="majorBidi" w:hAnsiTheme="majorBidi" w:cstheme="majorBidi"/>
          <w:b/>
          <w:bCs/>
          <w:sz w:val="24"/>
          <w:szCs w:val="24"/>
        </w:rPr>
        <w:t>TRESCARTES J. (1992) :</w:t>
      </w:r>
      <w:r>
        <w:rPr>
          <w:rFonts w:asciiTheme="majorBidi" w:hAnsiTheme="majorBidi" w:cstheme="majorBidi"/>
          <w:sz w:val="24"/>
          <w:szCs w:val="24"/>
        </w:rPr>
        <w:t xml:space="preserve"> Etude du remplissage sédimentaire du bassin Néogène du Chélif, modèle de référence de bassin intra montagneux » Thèse de Doct  Etat, Univ </w:t>
      </w:r>
      <w:r>
        <w:rPr>
          <w:rFonts w:ascii="TimesNewRoman,Italic" w:hAnsi="TimesNewRoman,Italic" w:cs="TimesNewRoman,Italic"/>
          <w:sz w:val="26"/>
          <w:szCs w:val="26"/>
        </w:rPr>
        <w:t>Pau</w:t>
      </w:r>
      <w:r>
        <w:rPr>
          <w:rFonts w:asciiTheme="majorBidi" w:hAnsiTheme="majorBidi" w:cstheme="majorBidi"/>
          <w:sz w:val="24"/>
          <w:szCs w:val="24"/>
        </w:rPr>
        <w:t xml:space="preserve"> </w:t>
      </w:r>
      <w:r>
        <w:rPr>
          <w:rFonts w:ascii="TimesNewRoman,Italic" w:hAnsi="TimesNewRoman,Italic" w:cs="TimesNewRoman,Italic"/>
          <w:sz w:val="26"/>
          <w:szCs w:val="26"/>
        </w:rPr>
        <w:t>et des Pays de l’Adour UPPA, France.</w:t>
      </w:r>
    </w:p>
    <w:p>
      <w:pPr>
        <w:autoSpaceDE w:val="0"/>
        <w:autoSpaceDN w:val="0"/>
        <w:adjustRightInd w:val="0"/>
        <w:spacing w:after="0" w:line="360" w:lineRule="auto"/>
        <w:rPr>
          <w:rFonts w:asciiTheme="majorBidi" w:hAnsiTheme="majorBidi" w:cstheme="majorBidi"/>
          <w:sz w:val="24"/>
          <w:szCs w:val="24"/>
        </w:rPr>
      </w:pPr>
    </w:p>
    <w:p>
      <w:pPr>
        <w:autoSpaceDE w:val="0"/>
        <w:autoSpaceDN w:val="0"/>
        <w:adjustRightInd w:val="0"/>
        <w:spacing w:before="100" w:beforeAutospacing="1" w:after="100" w:afterAutospacing="1"/>
        <w:rPr>
          <w:rFonts w:ascii="Times New Roman" w:hAnsi="Times New Roman" w:cs="Times New Roman"/>
          <w:sz w:val="24"/>
          <w:szCs w:val="24"/>
        </w:rPr>
      </w:pPr>
    </w:p>
    <w:p>
      <w:pPr>
        <w:autoSpaceDE w:val="0"/>
        <w:autoSpaceDN w:val="0"/>
        <w:adjustRightInd w:val="0"/>
        <w:spacing w:before="100" w:beforeAutospacing="1" w:after="100" w:afterAutospacing="1"/>
        <w:rPr>
          <w:rFonts w:asciiTheme="majorBidi" w:hAnsiTheme="majorBidi" w:cstheme="majorBidi"/>
          <w:b/>
          <w:bCs/>
          <w:sz w:val="24"/>
          <w:szCs w:val="24"/>
        </w:rPr>
      </w:pPr>
      <w:r>
        <w:rPr>
          <w:rFonts w:asciiTheme="majorBidi" w:hAnsiTheme="majorBidi" w:cstheme="majorBidi"/>
          <w:b/>
          <w:bCs/>
          <w:sz w:val="24"/>
          <w:szCs w:val="24"/>
        </w:rPr>
        <w:t>Webographie :</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sz w:val="24"/>
          <w:szCs w:val="24"/>
        </w:rPr>
        <w:t>http://www.olympiades-chimie.fr/documentation_habitat/docresin.doc</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sz w:val="24"/>
          <w:szCs w:val="24"/>
        </w:rPr>
        <w:t>http://www.lenntech.fr</w:t>
      </w: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sz w:val="24"/>
          <w:szCs w:val="24"/>
        </w:rPr>
        <w:t>http://fr.wikipedia.org/wiki/Osmose_inverse</w:t>
      </w:r>
    </w:p>
    <w:p>
      <w:pPr>
        <w:autoSpaceDE w:val="0"/>
        <w:autoSpaceDN w:val="0"/>
        <w:adjustRightInd w:val="0"/>
        <w:spacing w:before="100" w:beforeAutospacing="1" w:after="100" w:afterAutospacing="1"/>
        <w:rPr>
          <w:rFonts w:ascii="Times New Roman" w:hAnsi="Times New Roman" w:cs="Times New Roman"/>
        </w:rPr>
      </w:pPr>
      <w:r>
        <w:rPr>
          <w:rFonts w:ascii="Calibri" w:hAnsi="Calibri" w:cs="Calibri"/>
        </w:rPr>
        <w:t>http://www.apesa.fr/iso_album/resines_echangeuses_ions.pdf</w:t>
      </w:r>
    </w:p>
    <w:p>
      <w:pPr>
        <w:autoSpaceDE w:val="0"/>
        <w:autoSpaceDN w:val="0"/>
        <w:adjustRightInd w:val="0"/>
        <w:spacing w:before="100" w:beforeAutospacing="1" w:after="100" w:afterAutospacing="1"/>
        <w:rPr>
          <w:rFonts w:asciiTheme="majorBidi" w:hAnsiTheme="majorBidi" w:cstheme="majorBidi"/>
          <w:sz w:val="24"/>
          <w:szCs w:val="24"/>
        </w:rPr>
      </w:pPr>
    </w:p>
    <w:p>
      <w:pPr>
        <w:autoSpaceDE w:val="0"/>
        <w:autoSpaceDN w:val="0"/>
        <w:adjustRightInd w:val="0"/>
        <w:spacing w:before="100" w:beforeAutospacing="1" w:after="100" w:afterAutospacing="1"/>
        <w:rPr>
          <w:rFonts w:eastAsia="Times New Roman,Bold" w:asciiTheme="majorBidi" w:hAnsiTheme="majorBidi" w:cstheme="majorBidi"/>
        </w:rPr>
      </w:pPr>
    </w:p>
    <w:p>
      <w:pPr>
        <w:rPr>
          <w:rFonts w:asciiTheme="majorBidi" w:hAnsiTheme="majorBidi" w:cstheme="majorBidi"/>
          <w:b/>
          <w:bCs/>
          <w:sz w:val="24"/>
          <w:szCs w:val="24"/>
        </w:rPr>
      </w:pPr>
    </w:p>
    <w:p>
      <w:pPr>
        <w:autoSpaceDE w:val="0"/>
        <w:autoSpaceDN w:val="0"/>
        <w:adjustRightInd w:val="0"/>
        <w:spacing w:before="100" w:beforeAutospacing="1" w:after="100" w:afterAutospacing="1"/>
        <w:rPr>
          <w:rFonts w:asciiTheme="majorBidi" w:hAnsiTheme="majorBidi" w:cstheme="majorBidi"/>
          <w:sz w:val="24"/>
          <w:szCs w:val="24"/>
        </w:rPr>
      </w:pPr>
    </w:p>
    <w:p>
      <w:pPr>
        <w:autoSpaceDE w:val="0"/>
        <w:autoSpaceDN w:val="0"/>
        <w:adjustRightInd w:val="0"/>
        <w:spacing w:before="100" w:beforeAutospacing="1" w:after="100" w:afterAutospacing="1"/>
        <w:rPr>
          <w:rFonts w:asciiTheme="majorBidi" w:hAnsiTheme="majorBidi" w:cstheme="majorBidi"/>
          <w:sz w:val="24"/>
          <w:szCs w:val="24"/>
        </w:rPr>
      </w:pPr>
      <w:r>
        <w:rPr>
          <w:rFonts w:asciiTheme="majorBidi" w:hAnsiTheme="majorBidi" w:cstheme="majorBidi"/>
          <w:sz w:val="24"/>
          <w:szCs w:val="24"/>
        </w:rPr>
        <w:t>http://fr.wikipedia.org/wiki/Osmose_inverse</w:t>
      </w:r>
    </w:p>
    <w:p>
      <w:pPr>
        <w:autoSpaceDE w:val="0"/>
        <w:autoSpaceDN w:val="0"/>
        <w:adjustRightInd w:val="0"/>
        <w:spacing w:before="100" w:beforeAutospacing="1" w:after="100" w:afterAutospacing="1"/>
        <w:rPr>
          <w:rFonts w:ascii="Times New Roman" w:hAnsi="Times New Roman" w:cs="Times New Roman"/>
        </w:rPr>
      </w:pPr>
      <w:r>
        <w:rPr>
          <w:rFonts w:ascii="Calibri" w:hAnsi="Calibri" w:cs="Calibri"/>
        </w:rPr>
        <w:t>http://www.apesa.fr/iso_album/resines_echangeuses_ions.pdf</w:t>
      </w:r>
    </w:p>
    <w:p>
      <w:pPr>
        <w:autoSpaceDE w:val="0"/>
        <w:autoSpaceDN w:val="0"/>
        <w:adjustRightInd w:val="0"/>
        <w:spacing w:before="100" w:beforeAutospacing="1" w:after="100" w:afterAutospacing="1"/>
        <w:rPr>
          <w:rFonts w:asciiTheme="majorBidi" w:hAnsiTheme="majorBidi" w:cstheme="majorBidi"/>
          <w:sz w:val="24"/>
          <w:szCs w:val="24"/>
        </w:rPr>
      </w:pPr>
    </w:p>
    <w:p>
      <w:pPr>
        <w:autoSpaceDE w:val="0"/>
        <w:autoSpaceDN w:val="0"/>
        <w:adjustRightInd w:val="0"/>
        <w:spacing w:before="100" w:beforeAutospacing="1" w:after="100" w:afterAutospacing="1"/>
        <w:rPr>
          <w:rFonts w:eastAsia="Times New Roman,Bold" w:asciiTheme="majorBidi" w:hAnsiTheme="majorBidi" w:cstheme="majorBidi"/>
        </w:rPr>
      </w:pPr>
    </w:p>
    <w:p>
      <w:pPr>
        <w:rPr>
          <w:rFonts w:asciiTheme="majorBidi" w:hAnsiTheme="majorBidi" w:cstheme="majorBidi"/>
          <w:b/>
          <w:bCs/>
          <w:sz w:val="24"/>
          <w:szCs w:val="24"/>
        </w:rPr>
      </w:pPr>
    </w:p>
    <w:p>
      <w:pPr>
        <w:jc w:val="both"/>
        <w:rPr>
          <w:rFonts w:ascii="Times New Roman" w:hAnsi="Times New Roman" w:cs="Times New Roman"/>
          <w:sz w:val="24"/>
          <w:szCs w:val="24"/>
        </w:rPr>
      </w:pPr>
    </w:p>
    <w:sectPr>
      <w:pgSz w:w="11906" w:h="16838"/>
      <w:pgMar w:top="851" w:right="1841" w:bottom="709" w:left="1276"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Symbol">
    <w:panose1 w:val="05050102010706020507"/>
    <w:charset w:val="02"/>
    <w:family w:val="roman"/>
    <w:pitch w:val="default"/>
    <w:sig w:usb0="00000000" w:usb1="00000000" w:usb2="00000000" w:usb3="00000000" w:csb0="80000000" w:csb1="00000000"/>
  </w:font>
  <w:font w:name="TimesNewRoman,Bold">
    <w:altName w:val="Times New Roman"/>
    <w:panose1 w:val="00000000000000000000"/>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font>
  <w:font w:name="TimesNewRomanOOEnc">
    <w:altName w:val="Yu Gothic"/>
    <w:panose1 w:val="00000000000000000000"/>
    <w:charset w:val="80"/>
    <w:family w:val="auto"/>
    <w:pitch w:val="default"/>
    <w:sig w:usb0="00000000" w:usb1="00000000" w:usb2="00000010" w:usb3="00000000" w:csb0="00020000" w:csb1="00000000"/>
  </w:font>
  <w:font w:name="Cambria Math">
    <w:panose1 w:val="02040503050406030204"/>
    <w:charset w:val="00"/>
    <w:family w:val="roman"/>
    <w:pitch w:val="default"/>
    <w:sig w:usb0="E00006FF" w:usb1="420024FF" w:usb2="02000000" w:usb3="00000000" w:csb0="2000019F" w:csb1="00000000"/>
  </w:font>
  <w:font w:name="Yu Gothic">
    <w:panose1 w:val="020B0400000000000000"/>
    <w:charset w:val="80"/>
    <w:family w:val="auto"/>
    <w:pitch w:val="default"/>
    <w:sig w:usb0="E00002FF" w:usb1="2AC7FDFF" w:usb2="00000016" w:usb3="00000000" w:csb0="2002009F" w:csb1="00000000"/>
  </w:font>
  <w:font w:name="Times New Roman,Bold">
    <w:altName w:val="Yu Gothic"/>
    <w:panose1 w:val="00000000000000000000"/>
    <w:charset w:val="80"/>
    <w:family w:val="auto"/>
    <w:pitch w:val="default"/>
    <w:sig w:usb0="00000000" w:usb1="00000000" w:usb2="00000010" w:usb3="00000000" w:csb0="00020000" w:csb1="00000000"/>
  </w:font>
  <w:font w:name="TimesNewRoman,Italic">
    <w:altName w:val="Times New Roman"/>
    <w:panose1 w:val="00000000000000000000"/>
    <w:charset w:val="00"/>
    <w:family w:val="roman"/>
    <w:pitch w:val="default"/>
    <w:sig w:usb0="00000000"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706BE8"/>
    <w:multiLevelType w:val="multilevel"/>
    <w:tmpl w:val="00706BE8"/>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02CC798C"/>
    <w:multiLevelType w:val="multilevel"/>
    <w:tmpl w:val="02CC798C"/>
    <w:lvl w:ilvl="0" w:tentative="0">
      <w:start w:val="1"/>
      <w:numFmt w:val="bullet"/>
      <w:lvlText w:val=""/>
      <w:lvlJc w:val="righ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048B03E3"/>
    <w:multiLevelType w:val="multilevel"/>
    <w:tmpl w:val="048B03E3"/>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05B92E0B"/>
    <w:multiLevelType w:val="multilevel"/>
    <w:tmpl w:val="05B92E0B"/>
    <w:lvl w:ilvl="0" w:tentative="0">
      <w:start w:val="1"/>
      <w:numFmt w:val="decimal"/>
      <w:lvlText w:val="%1."/>
      <w:lvlJc w:val="left"/>
      <w:pPr>
        <w:ind w:left="360" w:hanging="360"/>
      </w:pPr>
      <w:rPr>
        <w:rFonts w:hint="default"/>
      </w:rPr>
    </w:lvl>
    <w:lvl w:ilvl="1" w:tentative="0">
      <w:start w:val="2"/>
      <w:numFmt w:val="decimal"/>
      <w:lvlText w:val="%1.%2."/>
      <w:lvlJc w:val="left"/>
      <w:pPr>
        <w:ind w:left="1440" w:hanging="360"/>
      </w:pPr>
      <w:rPr>
        <w:rFonts w:hint="default"/>
      </w:rPr>
    </w:lvl>
    <w:lvl w:ilvl="2" w:tentative="0">
      <w:start w:val="1"/>
      <w:numFmt w:val="decimal"/>
      <w:lvlText w:val="%1.%2.%3."/>
      <w:lvlJc w:val="left"/>
      <w:pPr>
        <w:ind w:left="2880" w:hanging="720"/>
      </w:pPr>
      <w:rPr>
        <w:rFonts w:hint="default"/>
      </w:rPr>
    </w:lvl>
    <w:lvl w:ilvl="3" w:tentative="0">
      <w:start w:val="1"/>
      <w:numFmt w:val="decimal"/>
      <w:lvlText w:val="%1.%2.%3.%4."/>
      <w:lvlJc w:val="left"/>
      <w:pPr>
        <w:ind w:left="3960" w:hanging="720"/>
      </w:pPr>
      <w:rPr>
        <w:rFonts w:hint="default"/>
      </w:rPr>
    </w:lvl>
    <w:lvl w:ilvl="4" w:tentative="0">
      <w:start w:val="1"/>
      <w:numFmt w:val="decimal"/>
      <w:lvlText w:val="%1.%2.%3.%4.%5."/>
      <w:lvlJc w:val="left"/>
      <w:pPr>
        <w:ind w:left="5400" w:hanging="1080"/>
      </w:pPr>
      <w:rPr>
        <w:rFonts w:hint="default"/>
      </w:rPr>
    </w:lvl>
    <w:lvl w:ilvl="5" w:tentative="0">
      <w:start w:val="1"/>
      <w:numFmt w:val="decimal"/>
      <w:lvlText w:val="%1.%2.%3.%4.%5.%6."/>
      <w:lvlJc w:val="left"/>
      <w:pPr>
        <w:ind w:left="6480" w:hanging="1080"/>
      </w:pPr>
      <w:rPr>
        <w:rFonts w:hint="default"/>
      </w:rPr>
    </w:lvl>
    <w:lvl w:ilvl="6" w:tentative="0">
      <w:start w:val="1"/>
      <w:numFmt w:val="decimal"/>
      <w:lvlText w:val="%1.%2.%3.%4.%5.%6.%7."/>
      <w:lvlJc w:val="left"/>
      <w:pPr>
        <w:ind w:left="7920" w:hanging="1440"/>
      </w:pPr>
      <w:rPr>
        <w:rFonts w:hint="default"/>
      </w:rPr>
    </w:lvl>
    <w:lvl w:ilvl="7" w:tentative="0">
      <w:start w:val="1"/>
      <w:numFmt w:val="decimal"/>
      <w:lvlText w:val="%1.%2.%3.%4.%5.%6.%7.%8."/>
      <w:lvlJc w:val="left"/>
      <w:pPr>
        <w:ind w:left="9000" w:hanging="1440"/>
      </w:pPr>
      <w:rPr>
        <w:rFonts w:hint="default"/>
      </w:rPr>
    </w:lvl>
    <w:lvl w:ilvl="8" w:tentative="0">
      <w:start w:val="1"/>
      <w:numFmt w:val="decimal"/>
      <w:lvlText w:val="%1.%2.%3.%4.%5.%6.%7.%8.%9."/>
      <w:lvlJc w:val="left"/>
      <w:pPr>
        <w:ind w:left="10440" w:hanging="1800"/>
      </w:pPr>
      <w:rPr>
        <w:rFonts w:hint="default"/>
      </w:rPr>
    </w:lvl>
  </w:abstractNum>
  <w:abstractNum w:abstractNumId="4">
    <w:nsid w:val="063712C1"/>
    <w:multiLevelType w:val="multilevel"/>
    <w:tmpl w:val="063712C1"/>
    <w:lvl w:ilvl="0" w:tentative="0">
      <w:start w:val="1"/>
      <w:numFmt w:val="bullet"/>
      <w:lvlText w:val=""/>
      <w:lvlJc w:val="left"/>
      <w:pPr>
        <w:ind w:left="1080" w:hanging="360"/>
      </w:pPr>
      <w:rPr>
        <w:rFonts w:hint="default" w:ascii="Wingdings" w:hAnsi="Wingdings"/>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5">
    <w:nsid w:val="0768491F"/>
    <w:multiLevelType w:val="multilevel"/>
    <w:tmpl w:val="0768491F"/>
    <w:lvl w:ilvl="0" w:tentative="0">
      <w:start w:val="1"/>
      <w:numFmt w:val="bullet"/>
      <w:lvlText w:val=""/>
      <w:lvlJc w:val="left"/>
      <w:pPr>
        <w:ind w:left="2007" w:hanging="360"/>
      </w:pPr>
      <w:rPr>
        <w:rFonts w:hint="default" w:ascii="Wingdings" w:hAnsi="Wingdings"/>
      </w:rPr>
    </w:lvl>
    <w:lvl w:ilvl="1" w:tentative="0">
      <w:start w:val="1"/>
      <w:numFmt w:val="bullet"/>
      <w:lvlText w:val="o"/>
      <w:lvlJc w:val="left"/>
      <w:pPr>
        <w:ind w:left="2727" w:hanging="360"/>
      </w:pPr>
      <w:rPr>
        <w:rFonts w:hint="default" w:ascii="Courier New" w:hAnsi="Courier New" w:cs="Courier New"/>
      </w:rPr>
    </w:lvl>
    <w:lvl w:ilvl="2" w:tentative="0">
      <w:start w:val="1"/>
      <w:numFmt w:val="bullet"/>
      <w:lvlText w:val=""/>
      <w:lvlJc w:val="left"/>
      <w:pPr>
        <w:ind w:left="3447" w:hanging="360"/>
      </w:pPr>
      <w:rPr>
        <w:rFonts w:hint="default" w:ascii="Wingdings" w:hAnsi="Wingdings"/>
      </w:rPr>
    </w:lvl>
    <w:lvl w:ilvl="3" w:tentative="0">
      <w:start w:val="1"/>
      <w:numFmt w:val="bullet"/>
      <w:lvlText w:val=""/>
      <w:lvlJc w:val="left"/>
      <w:pPr>
        <w:ind w:left="4167" w:hanging="360"/>
      </w:pPr>
      <w:rPr>
        <w:rFonts w:hint="default" w:ascii="Symbol" w:hAnsi="Symbol"/>
      </w:rPr>
    </w:lvl>
    <w:lvl w:ilvl="4" w:tentative="0">
      <w:start w:val="1"/>
      <w:numFmt w:val="bullet"/>
      <w:lvlText w:val="o"/>
      <w:lvlJc w:val="left"/>
      <w:pPr>
        <w:ind w:left="4887" w:hanging="360"/>
      </w:pPr>
      <w:rPr>
        <w:rFonts w:hint="default" w:ascii="Courier New" w:hAnsi="Courier New" w:cs="Courier New"/>
      </w:rPr>
    </w:lvl>
    <w:lvl w:ilvl="5" w:tentative="0">
      <w:start w:val="1"/>
      <w:numFmt w:val="bullet"/>
      <w:lvlText w:val=""/>
      <w:lvlJc w:val="left"/>
      <w:pPr>
        <w:ind w:left="5607" w:hanging="360"/>
      </w:pPr>
      <w:rPr>
        <w:rFonts w:hint="default" w:ascii="Wingdings" w:hAnsi="Wingdings"/>
      </w:rPr>
    </w:lvl>
    <w:lvl w:ilvl="6" w:tentative="0">
      <w:start w:val="1"/>
      <w:numFmt w:val="bullet"/>
      <w:lvlText w:val=""/>
      <w:lvlJc w:val="left"/>
      <w:pPr>
        <w:ind w:left="6327" w:hanging="360"/>
      </w:pPr>
      <w:rPr>
        <w:rFonts w:hint="default" w:ascii="Symbol" w:hAnsi="Symbol"/>
      </w:rPr>
    </w:lvl>
    <w:lvl w:ilvl="7" w:tentative="0">
      <w:start w:val="1"/>
      <w:numFmt w:val="bullet"/>
      <w:lvlText w:val="o"/>
      <w:lvlJc w:val="left"/>
      <w:pPr>
        <w:ind w:left="7047" w:hanging="360"/>
      </w:pPr>
      <w:rPr>
        <w:rFonts w:hint="default" w:ascii="Courier New" w:hAnsi="Courier New" w:cs="Courier New"/>
      </w:rPr>
    </w:lvl>
    <w:lvl w:ilvl="8" w:tentative="0">
      <w:start w:val="1"/>
      <w:numFmt w:val="bullet"/>
      <w:lvlText w:val=""/>
      <w:lvlJc w:val="left"/>
      <w:pPr>
        <w:ind w:left="7767" w:hanging="360"/>
      </w:pPr>
      <w:rPr>
        <w:rFonts w:hint="default" w:ascii="Wingdings" w:hAnsi="Wingdings"/>
      </w:rPr>
    </w:lvl>
  </w:abstractNum>
  <w:abstractNum w:abstractNumId="6">
    <w:nsid w:val="07FF7F15"/>
    <w:multiLevelType w:val="multilevel"/>
    <w:tmpl w:val="07FF7F15"/>
    <w:lvl w:ilvl="0" w:tentative="0">
      <w:start w:val="1"/>
      <w:numFmt w:val="bullet"/>
      <w:lvlText w:val=""/>
      <w:lvlJc w:val="left"/>
      <w:pPr>
        <w:ind w:left="780" w:hanging="360"/>
      </w:pPr>
      <w:rPr>
        <w:rFonts w:hint="default" w:ascii="Wingdings" w:hAnsi="Wingdings"/>
      </w:rPr>
    </w:lvl>
    <w:lvl w:ilvl="1" w:tentative="0">
      <w:start w:val="1"/>
      <w:numFmt w:val="bullet"/>
      <w:lvlText w:val="o"/>
      <w:lvlJc w:val="left"/>
      <w:pPr>
        <w:ind w:left="1500" w:hanging="360"/>
      </w:pPr>
      <w:rPr>
        <w:rFonts w:hint="default" w:ascii="Courier New" w:hAnsi="Courier New" w:cs="Courier New"/>
      </w:rPr>
    </w:lvl>
    <w:lvl w:ilvl="2" w:tentative="0">
      <w:start w:val="1"/>
      <w:numFmt w:val="bullet"/>
      <w:lvlText w:val=""/>
      <w:lvlJc w:val="left"/>
      <w:pPr>
        <w:ind w:left="2220" w:hanging="360"/>
      </w:pPr>
      <w:rPr>
        <w:rFonts w:hint="default" w:ascii="Wingdings" w:hAnsi="Wingdings"/>
      </w:rPr>
    </w:lvl>
    <w:lvl w:ilvl="3" w:tentative="0">
      <w:start w:val="1"/>
      <w:numFmt w:val="bullet"/>
      <w:lvlText w:val=""/>
      <w:lvlJc w:val="left"/>
      <w:pPr>
        <w:ind w:left="2940" w:hanging="360"/>
      </w:pPr>
      <w:rPr>
        <w:rFonts w:hint="default" w:ascii="Symbol" w:hAnsi="Symbol"/>
      </w:rPr>
    </w:lvl>
    <w:lvl w:ilvl="4" w:tentative="0">
      <w:start w:val="1"/>
      <w:numFmt w:val="bullet"/>
      <w:lvlText w:val="o"/>
      <w:lvlJc w:val="left"/>
      <w:pPr>
        <w:ind w:left="3660" w:hanging="360"/>
      </w:pPr>
      <w:rPr>
        <w:rFonts w:hint="default" w:ascii="Courier New" w:hAnsi="Courier New" w:cs="Courier New"/>
      </w:rPr>
    </w:lvl>
    <w:lvl w:ilvl="5" w:tentative="0">
      <w:start w:val="1"/>
      <w:numFmt w:val="bullet"/>
      <w:lvlText w:val=""/>
      <w:lvlJc w:val="left"/>
      <w:pPr>
        <w:ind w:left="4380" w:hanging="360"/>
      </w:pPr>
      <w:rPr>
        <w:rFonts w:hint="default" w:ascii="Wingdings" w:hAnsi="Wingdings"/>
      </w:rPr>
    </w:lvl>
    <w:lvl w:ilvl="6" w:tentative="0">
      <w:start w:val="1"/>
      <w:numFmt w:val="bullet"/>
      <w:lvlText w:val=""/>
      <w:lvlJc w:val="left"/>
      <w:pPr>
        <w:ind w:left="5100" w:hanging="360"/>
      </w:pPr>
      <w:rPr>
        <w:rFonts w:hint="default" w:ascii="Symbol" w:hAnsi="Symbol"/>
      </w:rPr>
    </w:lvl>
    <w:lvl w:ilvl="7" w:tentative="0">
      <w:start w:val="1"/>
      <w:numFmt w:val="bullet"/>
      <w:lvlText w:val="o"/>
      <w:lvlJc w:val="left"/>
      <w:pPr>
        <w:ind w:left="5820" w:hanging="360"/>
      </w:pPr>
      <w:rPr>
        <w:rFonts w:hint="default" w:ascii="Courier New" w:hAnsi="Courier New" w:cs="Courier New"/>
      </w:rPr>
    </w:lvl>
    <w:lvl w:ilvl="8" w:tentative="0">
      <w:start w:val="1"/>
      <w:numFmt w:val="bullet"/>
      <w:lvlText w:val=""/>
      <w:lvlJc w:val="left"/>
      <w:pPr>
        <w:ind w:left="6540" w:hanging="360"/>
      </w:pPr>
      <w:rPr>
        <w:rFonts w:hint="default" w:ascii="Wingdings" w:hAnsi="Wingdings"/>
      </w:rPr>
    </w:lvl>
  </w:abstractNum>
  <w:abstractNum w:abstractNumId="7">
    <w:nsid w:val="08525708"/>
    <w:multiLevelType w:val="multilevel"/>
    <w:tmpl w:val="08525708"/>
    <w:lvl w:ilvl="0" w:tentative="0">
      <w:start w:val="1"/>
      <w:numFmt w:val="lowerLetter"/>
      <w:lvlText w:val="%1-"/>
      <w:lvlJc w:val="left"/>
      <w:pPr>
        <w:ind w:left="405" w:hanging="360"/>
      </w:pPr>
      <w:rPr>
        <w:rFonts w:hint="default"/>
        <w:b/>
        <w:i w:val="0"/>
      </w:rPr>
    </w:lvl>
    <w:lvl w:ilvl="1" w:tentative="0">
      <w:start w:val="1"/>
      <w:numFmt w:val="lowerLetter"/>
      <w:lvlText w:val="%2."/>
      <w:lvlJc w:val="left"/>
      <w:pPr>
        <w:ind w:left="1125" w:hanging="360"/>
      </w:pPr>
    </w:lvl>
    <w:lvl w:ilvl="2" w:tentative="0">
      <w:start w:val="1"/>
      <w:numFmt w:val="lowerRoman"/>
      <w:lvlText w:val="%3."/>
      <w:lvlJc w:val="right"/>
      <w:pPr>
        <w:ind w:left="1845" w:hanging="180"/>
      </w:pPr>
    </w:lvl>
    <w:lvl w:ilvl="3" w:tentative="0">
      <w:start w:val="1"/>
      <w:numFmt w:val="decimal"/>
      <w:lvlText w:val="%4."/>
      <w:lvlJc w:val="left"/>
      <w:pPr>
        <w:ind w:left="2565" w:hanging="360"/>
      </w:pPr>
    </w:lvl>
    <w:lvl w:ilvl="4" w:tentative="0">
      <w:start w:val="1"/>
      <w:numFmt w:val="lowerLetter"/>
      <w:lvlText w:val="%5."/>
      <w:lvlJc w:val="left"/>
      <w:pPr>
        <w:ind w:left="3285" w:hanging="360"/>
      </w:pPr>
    </w:lvl>
    <w:lvl w:ilvl="5" w:tentative="0">
      <w:start w:val="1"/>
      <w:numFmt w:val="lowerRoman"/>
      <w:lvlText w:val="%6."/>
      <w:lvlJc w:val="right"/>
      <w:pPr>
        <w:ind w:left="4005" w:hanging="180"/>
      </w:pPr>
    </w:lvl>
    <w:lvl w:ilvl="6" w:tentative="0">
      <w:start w:val="1"/>
      <w:numFmt w:val="decimal"/>
      <w:lvlText w:val="%7."/>
      <w:lvlJc w:val="left"/>
      <w:pPr>
        <w:ind w:left="4725" w:hanging="360"/>
      </w:pPr>
    </w:lvl>
    <w:lvl w:ilvl="7" w:tentative="0">
      <w:start w:val="1"/>
      <w:numFmt w:val="lowerLetter"/>
      <w:lvlText w:val="%8."/>
      <w:lvlJc w:val="left"/>
      <w:pPr>
        <w:ind w:left="5445" w:hanging="360"/>
      </w:pPr>
    </w:lvl>
    <w:lvl w:ilvl="8" w:tentative="0">
      <w:start w:val="1"/>
      <w:numFmt w:val="lowerRoman"/>
      <w:lvlText w:val="%9."/>
      <w:lvlJc w:val="right"/>
      <w:pPr>
        <w:ind w:left="6165" w:hanging="180"/>
      </w:pPr>
    </w:lvl>
  </w:abstractNum>
  <w:abstractNum w:abstractNumId="8">
    <w:nsid w:val="0A3D6DB3"/>
    <w:multiLevelType w:val="multilevel"/>
    <w:tmpl w:val="0A3D6DB3"/>
    <w:lvl w:ilvl="0" w:tentative="0">
      <w:start w:val="1"/>
      <w:numFmt w:val="bullet"/>
      <w:lvlText w:val=""/>
      <w:lvlJc w:val="left"/>
      <w:pPr>
        <w:ind w:left="1423" w:hanging="360"/>
      </w:pPr>
      <w:rPr>
        <w:rFonts w:hint="default" w:ascii="Wingdings" w:hAnsi="Wingdings"/>
      </w:rPr>
    </w:lvl>
    <w:lvl w:ilvl="1" w:tentative="0">
      <w:start w:val="1"/>
      <w:numFmt w:val="bullet"/>
      <w:lvlText w:val="o"/>
      <w:lvlJc w:val="left"/>
      <w:pPr>
        <w:ind w:left="2143" w:hanging="360"/>
      </w:pPr>
      <w:rPr>
        <w:rFonts w:hint="default" w:ascii="Courier New" w:hAnsi="Courier New" w:cs="Courier New"/>
      </w:rPr>
    </w:lvl>
    <w:lvl w:ilvl="2" w:tentative="0">
      <w:start w:val="1"/>
      <w:numFmt w:val="bullet"/>
      <w:lvlText w:val=""/>
      <w:lvlJc w:val="left"/>
      <w:pPr>
        <w:ind w:left="2863" w:hanging="360"/>
      </w:pPr>
      <w:rPr>
        <w:rFonts w:hint="default" w:ascii="Wingdings" w:hAnsi="Wingdings"/>
      </w:rPr>
    </w:lvl>
    <w:lvl w:ilvl="3" w:tentative="0">
      <w:start w:val="1"/>
      <w:numFmt w:val="bullet"/>
      <w:lvlText w:val=""/>
      <w:lvlJc w:val="left"/>
      <w:pPr>
        <w:ind w:left="3583" w:hanging="360"/>
      </w:pPr>
      <w:rPr>
        <w:rFonts w:hint="default" w:ascii="Symbol" w:hAnsi="Symbol"/>
      </w:rPr>
    </w:lvl>
    <w:lvl w:ilvl="4" w:tentative="0">
      <w:start w:val="1"/>
      <w:numFmt w:val="bullet"/>
      <w:lvlText w:val="o"/>
      <w:lvlJc w:val="left"/>
      <w:pPr>
        <w:ind w:left="4303" w:hanging="360"/>
      </w:pPr>
      <w:rPr>
        <w:rFonts w:hint="default" w:ascii="Courier New" w:hAnsi="Courier New" w:cs="Courier New"/>
      </w:rPr>
    </w:lvl>
    <w:lvl w:ilvl="5" w:tentative="0">
      <w:start w:val="1"/>
      <w:numFmt w:val="bullet"/>
      <w:lvlText w:val=""/>
      <w:lvlJc w:val="left"/>
      <w:pPr>
        <w:ind w:left="5023" w:hanging="360"/>
      </w:pPr>
      <w:rPr>
        <w:rFonts w:hint="default" w:ascii="Wingdings" w:hAnsi="Wingdings"/>
      </w:rPr>
    </w:lvl>
    <w:lvl w:ilvl="6" w:tentative="0">
      <w:start w:val="1"/>
      <w:numFmt w:val="bullet"/>
      <w:lvlText w:val=""/>
      <w:lvlJc w:val="left"/>
      <w:pPr>
        <w:ind w:left="5743" w:hanging="360"/>
      </w:pPr>
      <w:rPr>
        <w:rFonts w:hint="default" w:ascii="Symbol" w:hAnsi="Symbol"/>
      </w:rPr>
    </w:lvl>
    <w:lvl w:ilvl="7" w:tentative="0">
      <w:start w:val="1"/>
      <w:numFmt w:val="bullet"/>
      <w:lvlText w:val="o"/>
      <w:lvlJc w:val="left"/>
      <w:pPr>
        <w:ind w:left="6463" w:hanging="360"/>
      </w:pPr>
      <w:rPr>
        <w:rFonts w:hint="default" w:ascii="Courier New" w:hAnsi="Courier New" w:cs="Courier New"/>
      </w:rPr>
    </w:lvl>
    <w:lvl w:ilvl="8" w:tentative="0">
      <w:start w:val="1"/>
      <w:numFmt w:val="bullet"/>
      <w:lvlText w:val=""/>
      <w:lvlJc w:val="left"/>
      <w:pPr>
        <w:ind w:left="7183" w:hanging="360"/>
      </w:pPr>
      <w:rPr>
        <w:rFonts w:hint="default" w:ascii="Wingdings" w:hAnsi="Wingdings"/>
      </w:rPr>
    </w:lvl>
  </w:abstractNum>
  <w:abstractNum w:abstractNumId="9">
    <w:nsid w:val="0BC24CBA"/>
    <w:multiLevelType w:val="multilevel"/>
    <w:tmpl w:val="0BC24CBA"/>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
    <w:nsid w:val="11FD4038"/>
    <w:multiLevelType w:val="multilevel"/>
    <w:tmpl w:val="11FD4038"/>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1">
    <w:nsid w:val="1865072A"/>
    <w:multiLevelType w:val="multilevel"/>
    <w:tmpl w:val="1865072A"/>
    <w:lvl w:ilvl="0" w:tentative="0">
      <w:start w:val="1"/>
      <w:numFmt w:val="decimal"/>
      <w:lvlText w:val="%1"/>
      <w:lvlJc w:val="left"/>
      <w:pPr>
        <w:ind w:left="360" w:hanging="360"/>
      </w:pPr>
      <w:rPr>
        <w:rFonts w:hint="default"/>
      </w:rPr>
    </w:lvl>
    <w:lvl w:ilvl="1" w:tentative="0">
      <w:start w:val="1"/>
      <w:numFmt w:val="decimal"/>
      <w:lvlText w:val="%1.%2"/>
      <w:lvlJc w:val="left"/>
      <w:pPr>
        <w:ind w:left="1069" w:hanging="360"/>
      </w:pPr>
      <w:rPr>
        <w:rFonts w:hint="default"/>
      </w:rPr>
    </w:lvl>
    <w:lvl w:ilvl="2" w:tentative="0">
      <w:start w:val="1"/>
      <w:numFmt w:val="decimal"/>
      <w:lvlText w:val="%1.%2.%3"/>
      <w:lvlJc w:val="left"/>
      <w:pPr>
        <w:ind w:left="2138" w:hanging="720"/>
      </w:pPr>
      <w:rPr>
        <w:rFonts w:hint="default"/>
      </w:rPr>
    </w:lvl>
    <w:lvl w:ilvl="3" w:tentative="0">
      <w:start w:val="1"/>
      <w:numFmt w:val="decimal"/>
      <w:lvlText w:val="%1.%2.%3.%4"/>
      <w:lvlJc w:val="left"/>
      <w:pPr>
        <w:ind w:left="2847" w:hanging="720"/>
      </w:pPr>
      <w:rPr>
        <w:rFonts w:hint="default"/>
      </w:rPr>
    </w:lvl>
    <w:lvl w:ilvl="4" w:tentative="0">
      <w:start w:val="1"/>
      <w:numFmt w:val="decimal"/>
      <w:lvlText w:val="%1.%2.%3.%4.%5"/>
      <w:lvlJc w:val="left"/>
      <w:pPr>
        <w:ind w:left="3916" w:hanging="1080"/>
      </w:pPr>
      <w:rPr>
        <w:rFonts w:hint="default"/>
      </w:rPr>
    </w:lvl>
    <w:lvl w:ilvl="5" w:tentative="0">
      <w:start w:val="1"/>
      <w:numFmt w:val="decimal"/>
      <w:lvlText w:val="%1.%2.%3.%4.%5.%6"/>
      <w:lvlJc w:val="left"/>
      <w:pPr>
        <w:ind w:left="4625" w:hanging="1080"/>
      </w:pPr>
      <w:rPr>
        <w:rFonts w:hint="default"/>
      </w:rPr>
    </w:lvl>
    <w:lvl w:ilvl="6" w:tentative="0">
      <w:start w:val="1"/>
      <w:numFmt w:val="decimal"/>
      <w:lvlText w:val="%1.%2.%3.%4.%5.%6.%7"/>
      <w:lvlJc w:val="left"/>
      <w:pPr>
        <w:ind w:left="5694" w:hanging="1440"/>
      </w:pPr>
      <w:rPr>
        <w:rFonts w:hint="default"/>
      </w:rPr>
    </w:lvl>
    <w:lvl w:ilvl="7" w:tentative="0">
      <w:start w:val="1"/>
      <w:numFmt w:val="decimal"/>
      <w:lvlText w:val="%1.%2.%3.%4.%5.%6.%7.%8"/>
      <w:lvlJc w:val="left"/>
      <w:pPr>
        <w:ind w:left="6403" w:hanging="1440"/>
      </w:pPr>
      <w:rPr>
        <w:rFonts w:hint="default"/>
      </w:rPr>
    </w:lvl>
    <w:lvl w:ilvl="8" w:tentative="0">
      <w:start w:val="1"/>
      <w:numFmt w:val="decimal"/>
      <w:lvlText w:val="%1.%2.%3.%4.%5.%6.%7.%8.%9"/>
      <w:lvlJc w:val="left"/>
      <w:pPr>
        <w:ind w:left="7472" w:hanging="1800"/>
      </w:pPr>
      <w:rPr>
        <w:rFonts w:hint="default"/>
      </w:rPr>
    </w:lvl>
  </w:abstractNum>
  <w:abstractNum w:abstractNumId="12">
    <w:nsid w:val="1AE158B4"/>
    <w:multiLevelType w:val="multilevel"/>
    <w:tmpl w:val="1AE158B4"/>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3">
    <w:nsid w:val="28503831"/>
    <w:multiLevelType w:val="multilevel"/>
    <w:tmpl w:val="28503831"/>
    <w:lvl w:ilvl="0" w:tentative="0">
      <w:start w:val="2"/>
      <w:numFmt w:val="decimal"/>
      <w:lvlText w:val="%1."/>
      <w:lvlJc w:val="left"/>
      <w:pPr>
        <w:ind w:left="360" w:hanging="360"/>
      </w:pPr>
      <w:rPr>
        <w:rFonts w:hint="default"/>
      </w:rPr>
    </w:lvl>
    <w:lvl w:ilvl="1" w:tentative="0">
      <w:start w:val="1"/>
      <w:numFmt w:val="decimal"/>
      <w:lvlText w:val="%1.%2."/>
      <w:lvlJc w:val="left"/>
      <w:pPr>
        <w:ind w:left="360"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14">
    <w:nsid w:val="292A5FF2"/>
    <w:multiLevelType w:val="multilevel"/>
    <w:tmpl w:val="292A5FF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5">
    <w:nsid w:val="2A8266D1"/>
    <w:multiLevelType w:val="multilevel"/>
    <w:tmpl w:val="2A8266D1"/>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6">
    <w:nsid w:val="2E0E7A25"/>
    <w:multiLevelType w:val="multilevel"/>
    <w:tmpl w:val="2E0E7A25"/>
    <w:lvl w:ilvl="0" w:tentative="0">
      <w:start w:val="1"/>
      <w:numFmt w:val="bullet"/>
      <w:lvlText w:val=""/>
      <w:lvlJc w:val="left"/>
      <w:pPr>
        <w:ind w:left="765" w:hanging="360"/>
      </w:pPr>
      <w:rPr>
        <w:rFonts w:hint="default" w:ascii="Symbol" w:hAnsi="Symbol"/>
      </w:rPr>
    </w:lvl>
    <w:lvl w:ilvl="1" w:tentative="0">
      <w:start w:val="1"/>
      <w:numFmt w:val="bullet"/>
      <w:lvlText w:val="o"/>
      <w:lvlJc w:val="left"/>
      <w:pPr>
        <w:ind w:left="1485" w:hanging="360"/>
      </w:pPr>
      <w:rPr>
        <w:rFonts w:hint="default" w:ascii="Courier New" w:hAnsi="Courier New" w:cs="Courier New"/>
      </w:rPr>
    </w:lvl>
    <w:lvl w:ilvl="2" w:tentative="0">
      <w:start w:val="1"/>
      <w:numFmt w:val="bullet"/>
      <w:lvlText w:val=""/>
      <w:lvlJc w:val="left"/>
      <w:pPr>
        <w:ind w:left="2205" w:hanging="360"/>
      </w:pPr>
      <w:rPr>
        <w:rFonts w:hint="default" w:ascii="Wingdings" w:hAnsi="Wingdings"/>
      </w:rPr>
    </w:lvl>
    <w:lvl w:ilvl="3" w:tentative="0">
      <w:start w:val="1"/>
      <w:numFmt w:val="bullet"/>
      <w:lvlText w:val=""/>
      <w:lvlJc w:val="left"/>
      <w:pPr>
        <w:ind w:left="2925" w:hanging="360"/>
      </w:pPr>
      <w:rPr>
        <w:rFonts w:hint="default" w:ascii="Symbol" w:hAnsi="Symbol"/>
      </w:rPr>
    </w:lvl>
    <w:lvl w:ilvl="4" w:tentative="0">
      <w:start w:val="1"/>
      <w:numFmt w:val="bullet"/>
      <w:lvlText w:val="o"/>
      <w:lvlJc w:val="left"/>
      <w:pPr>
        <w:ind w:left="3645" w:hanging="360"/>
      </w:pPr>
      <w:rPr>
        <w:rFonts w:hint="default" w:ascii="Courier New" w:hAnsi="Courier New" w:cs="Courier New"/>
      </w:rPr>
    </w:lvl>
    <w:lvl w:ilvl="5" w:tentative="0">
      <w:start w:val="1"/>
      <w:numFmt w:val="bullet"/>
      <w:lvlText w:val=""/>
      <w:lvlJc w:val="left"/>
      <w:pPr>
        <w:ind w:left="4365" w:hanging="360"/>
      </w:pPr>
      <w:rPr>
        <w:rFonts w:hint="default" w:ascii="Wingdings" w:hAnsi="Wingdings"/>
      </w:rPr>
    </w:lvl>
    <w:lvl w:ilvl="6" w:tentative="0">
      <w:start w:val="1"/>
      <w:numFmt w:val="bullet"/>
      <w:lvlText w:val=""/>
      <w:lvlJc w:val="left"/>
      <w:pPr>
        <w:ind w:left="5085" w:hanging="360"/>
      </w:pPr>
      <w:rPr>
        <w:rFonts w:hint="default" w:ascii="Symbol" w:hAnsi="Symbol"/>
      </w:rPr>
    </w:lvl>
    <w:lvl w:ilvl="7" w:tentative="0">
      <w:start w:val="1"/>
      <w:numFmt w:val="bullet"/>
      <w:lvlText w:val="o"/>
      <w:lvlJc w:val="left"/>
      <w:pPr>
        <w:ind w:left="5805" w:hanging="360"/>
      </w:pPr>
      <w:rPr>
        <w:rFonts w:hint="default" w:ascii="Courier New" w:hAnsi="Courier New" w:cs="Courier New"/>
      </w:rPr>
    </w:lvl>
    <w:lvl w:ilvl="8" w:tentative="0">
      <w:start w:val="1"/>
      <w:numFmt w:val="bullet"/>
      <w:lvlText w:val=""/>
      <w:lvlJc w:val="left"/>
      <w:pPr>
        <w:ind w:left="6525" w:hanging="360"/>
      </w:pPr>
      <w:rPr>
        <w:rFonts w:hint="default" w:ascii="Wingdings" w:hAnsi="Wingdings"/>
      </w:rPr>
    </w:lvl>
  </w:abstractNum>
  <w:abstractNum w:abstractNumId="17">
    <w:nsid w:val="2F2730E0"/>
    <w:multiLevelType w:val="multilevel"/>
    <w:tmpl w:val="2F2730E0"/>
    <w:lvl w:ilvl="0" w:tentative="0">
      <w:start w:val="1"/>
      <w:numFmt w:val="decimal"/>
      <w:lvlText w:val="%1."/>
      <w:lvlJc w:val="left"/>
      <w:pPr>
        <w:ind w:left="360" w:hanging="360"/>
      </w:pPr>
      <w:rPr>
        <w:rFonts w:hint="default"/>
      </w:rPr>
    </w:lvl>
    <w:lvl w:ilvl="1" w:tentative="0">
      <w:start w:val="1"/>
      <w:numFmt w:val="decimal"/>
      <w:lvlText w:val="%1.%2."/>
      <w:lvlJc w:val="left"/>
      <w:pPr>
        <w:ind w:left="1440" w:hanging="360"/>
      </w:pPr>
      <w:rPr>
        <w:rFonts w:hint="default"/>
      </w:rPr>
    </w:lvl>
    <w:lvl w:ilvl="2" w:tentative="0">
      <w:start w:val="1"/>
      <w:numFmt w:val="decimal"/>
      <w:lvlText w:val="%1.%2.%3."/>
      <w:lvlJc w:val="left"/>
      <w:pPr>
        <w:ind w:left="2880" w:hanging="720"/>
      </w:pPr>
      <w:rPr>
        <w:rFonts w:hint="default"/>
      </w:rPr>
    </w:lvl>
    <w:lvl w:ilvl="3" w:tentative="0">
      <w:start w:val="1"/>
      <w:numFmt w:val="decimal"/>
      <w:lvlText w:val="%1.%2.%3.%4."/>
      <w:lvlJc w:val="left"/>
      <w:pPr>
        <w:ind w:left="3960" w:hanging="720"/>
      </w:pPr>
      <w:rPr>
        <w:rFonts w:hint="default"/>
      </w:rPr>
    </w:lvl>
    <w:lvl w:ilvl="4" w:tentative="0">
      <w:start w:val="1"/>
      <w:numFmt w:val="decimal"/>
      <w:lvlText w:val="%1.%2.%3.%4.%5."/>
      <w:lvlJc w:val="left"/>
      <w:pPr>
        <w:ind w:left="5400" w:hanging="1080"/>
      </w:pPr>
      <w:rPr>
        <w:rFonts w:hint="default"/>
      </w:rPr>
    </w:lvl>
    <w:lvl w:ilvl="5" w:tentative="0">
      <w:start w:val="1"/>
      <w:numFmt w:val="decimal"/>
      <w:lvlText w:val="%1.%2.%3.%4.%5.%6."/>
      <w:lvlJc w:val="left"/>
      <w:pPr>
        <w:ind w:left="6480" w:hanging="1080"/>
      </w:pPr>
      <w:rPr>
        <w:rFonts w:hint="default"/>
      </w:rPr>
    </w:lvl>
    <w:lvl w:ilvl="6" w:tentative="0">
      <w:start w:val="1"/>
      <w:numFmt w:val="decimal"/>
      <w:lvlText w:val="%1.%2.%3.%4.%5.%6.%7."/>
      <w:lvlJc w:val="left"/>
      <w:pPr>
        <w:ind w:left="7920" w:hanging="1440"/>
      </w:pPr>
      <w:rPr>
        <w:rFonts w:hint="default"/>
      </w:rPr>
    </w:lvl>
    <w:lvl w:ilvl="7" w:tentative="0">
      <w:start w:val="1"/>
      <w:numFmt w:val="decimal"/>
      <w:lvlText w:val="%1.%2.%3.%4.%5.%6.%7.%8."/>
      <w:lvlJc w:val="left"/>
      <w:pPr>
        <w:ind w:left="9000" w:hanging="1440"/>
      </w:pPr>
      <w:rPr>
        <w:rFonts w:hint="default"/>
      </w:rPr>
    </w:lvl>
    <w:lvl w:ilvl="8" w:tentative="0">
      <w:start w:val="1"/>
      <w:numFmt w:val="decimal"/>
      <w:lvlText w:val="%1.%2.%3.%4.%5.%6.%7.%8.%9."/>
      <w:lvlJc w:val="left"/>
      <w:pPr>
        <w:ind w:left="10440" w:hanging="1800"/>
      </w:pPr>
      <w:rPr>
        <w:rFonts w:hint="default"/>
      </w:rPr>
    </w:lvl>
  </w:abstractNum>
  <w:abstractNum w:abstractNumId="18">
    <w:nsid w:val="33A2143B"/>
    <w:multiLevelType w:val="multilevel"/>
    <w:tmpl w:val="33A2143B"/>
    <w:lvl w:ilvl="0" w:tentative="0">
      <w:start w:val="1"/>
      <w:numFmt w:val="bullet"/>
      <w:lvlText w:val=""/>
      <w:lvlJc w:val="righ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9">
    <w:nsid w:val="37836B54"/>
    <w:multiLevelType w:val="multilevel"/>
    <w:tmpl w:val="37836B54"/>
    <w:lvl w:ilvl="0" w:tentative="0">
      <w:start w:val="1"/>
      <w:numFmt w:val="decimal"/>
      <w:lvlText w:val="%1."/>
      <w:lvlJc w:val="left"/>
      <w:pPr>
        <w:ind w:left="1080" w:hanging="360"/>
      </w:pPr>
      <w:rPr>
        <w:rFonts w:hint="default"/>
        <w:b w:val="0"/>
        <w:bCs w:val="0"/>
      </w:rPr>
    </w:lvl>
    <w:lvl w:ilvl="1" w:tentative="0">
      <w:start w:val="1"/>
      <w:numFmt w:val="decimal"/>
      <w:isLgl/>
      <w:lvlText w:val="%1.%2."/>
      <w:lvlJc w:val="left"/>
      <w:pPr>
        <w:ind w:left="1211" w:hanging="360"/>
      </w:pPr>
      <w:rPr>
        <w:rFonts w:hint="default" w:asciiTheme="majorBidi" w:hAnsiTheme="majorBidi" w:cstheme="majorBidi"/>
        <w:b w:val="0"/>
        <w:bCs/>
        <w:sz w:val="24"/>
      </w:rPr>
    </w:lvl>
    <w:lvl w:ilvl="2" w:tentative="0">
      <w:start w:val="1"/>
      <w:numFmt w:val="decimal"/>
      <w:isLgl/>
      <w:lvlText w:val="%1.%2.%3."/>
      <w:lvlJc w:val="left"/>
      <w:pPr>
        <w:ind w:left="1440" w:hanging="720"/>
      </w:pPr>
      <w:rPr>
        <w:rFonts w:hint="default" w:asciiTheme="majorBidi" w:hAnsiTheme="majorBidi" w:cstheme="majorBidi"/>
        <w:b/>
        <w:sz w:val="24"/>
      </w:rPr>
    </w:lvl>
    <w:lvl w:ilvl="3" w:tentative="0">
      <w:start w:val="1"/>
      <w:numFmt w:val="decimal"/>
      <w:isLgl/>
      <w:lvlText w:val="%1.%2.%3.%4."/>
      <w:lvlJc w:val="left"/>
      <w:pPr>
        <w:ind w:left="1440" w:hanging="720"/>
      </w:pPr>
      <w:rPr>
        <w:rFonts w:hint="default" w:asciiTheme="majorBidi" w:hAnsiTheme="majorBidi" w:cstheme="majorBidi"/>
        <w:b/>
        <w:sz w:val="24"/>
      </w:rPr>
    </w:lvl>
    <w:lvl w:ilvl="4" w:tentative="0">
      <w:start w:val="1"/>
      <w:numFmt w:val="decimal"/>
      <w:isLgl/>
      <w:lvlText w:val="%1.%2.%3.%4.%5."/>
      <w:lvlJc w:val="left"/>
      <w:pPr>
        <w:ind w:left="1800" w:hanging="1080"/>
      </w:pPr>
      <w:rPr>
        <w:rFonts w:hint="default" w:asciiTheme="majorBidi" w:hAnsiTheme="majorBidi" w:cstheme="majorBidi"/>
        <w:b/>
        <w:sz w:val="24"/>
      </w:rPr>
    </w:lvl>
    <w:lvl w:ilvl="5" w:tentative="0">
      <w:start w:val="1"/>
      <w:numFmt w:val="decimal"/>
      <w:isLgl/>
      <w:lvlText w:val="%1.%2.%3.%4.%5.%6."/>
      <w:lvlJc w:val="left"/>
      <w:pPr>
        <w:ind w:left="1800" w:hanging="1080"/>
      </w:pPr>
      <w:rPr>
        <w:rFonts w:hint="default" w:asciiTheme="majorBidi" w:hAnsiTheme="majorBidi" w:cstheme="majorBidi"/>
        <w:b/>
        <w:sz w:val="24"/>
      </w:rPr>
    </w:lvl>
    <w:lvl w:ilvl="6" w:tentative="0">
      <w:start w:val="1"/>
      <w:numFmt w:val="decimal"/>
      <w:isLgl/>
      <w:lvlText w:val="%1.%2.%3.%4.%5.%6.%7."/>
      <w:lvlJc w:val="left"/>
      <w:pPr>
        <w:ind w:left="2160" w:hanging="1440"/>
      </w:pPr>
      <w:rPr>
        <w:rFonts w:hint="default" w:asciiTheme="majorBidi" w:hAnsiTheme="majorBidi" w:cstheme="majorBidi"/>
        <w:b/>
        <w:sz w:val="24"/>
      </w:rPr>
    </w:lvl>
    <w:lvl w:ilvl="7" w:tentative="0">
      <w:start w:val="1"/>
      <w:numFmt w:val="decimal"/>
      <w:isLgl/>
      <w:lvlText w:val="%1.%2.%3.%4.%5.%6.%7.%8."/>
      <w:lvlJc w:val="left"/>
      <w:pPr>
        <w:ind w:left="2160" w:hanging="1440"/>
      </w:pPr>
      <w:rPr>
        <w:rFonts w:hint="default" w:asciiTheme="majorBidi" w:hAnsiTheme="majorBidi" w:cstheme="majorBidi"/>
        <w:b/>
        <w:sz w:val="24"/>
      </w:rPr>
    </w:lvl>
    <w:lvl w:ilvl="8" w:tentative="0">
      <w:start w:val="1"/>
      <w:numFmt w:val="decimal"/>
      <w:isLgl/>
      <w:lvlText w:val="%1.%2.%3.%4.%5.%6.%7.%8.%9."/>
      <w:lvlJc w:val="left"/>
      <w:pPr>
        <w:ind w:left="2520" w:hanging="1800"/>
      </w:pPr>
      <w:rPr>
        <w:rFonts w:hint="default" w:asciiTheme="majorBidi" w:hAnsiTheme="majorBidi" w:cstheme="majorBidi"/>
        <w:b/>
        <w:sz w:val="24"/>
      </w:rPr>
    </w:lvl>
  </w:abstractNum>
  <w:abstractNum w:abstractNumId="20">
    <w:nsid w:val="38240AA0"/>
    <w:multiLevelType w:val="multilevel"/>
    <w:tmpl w:val="38240AA0"/>
    <w:lvl w:ilvl="0" w:tentative="0">
      <w:start w:val="2"/>
      <w:numFmt w:val="decimal"/>
      <w:lvlText w:val="%1"/>
      <w:lvlJc w:val="left"/>
      <w:pPr>
        <w:ind w:left="480" w:hanging="480"/>
      </w:pPr>
      <w:rPr>
        <w:rFonts w:hint="default" w:asciiTheme="majorBidi" w:hAnsiTheme="majorBidi" w:cstheme="majorBidi"/>
        <w:b/>
        <w:sz w:val="24"/>
      </w:rPr>
    </w:lvl>
    <w:lvl w:ilvl="1" w:tentative="0">
      <w:start w:val="2"/>
      <w:numFmt w:val="decimal"/>
      <w:lvlText w:val="%1.%2"/>
      <w:lvlJc w:val="left"/>
      <w:pPr>
        <w:ind w:left="1047" w:hanging="480"/>
      </w:pPr>
      <w:rPr>
        <w:rFonts w:hint="default" w:asciiTheme="majorBidi" w:hAnsiTheme="majorBidi" w:cstheme="majorBidi"/>
        <w:b/>
        <w:sz w:val="24"/>
      </w:rPr>
    </w:lvl>
    <w:lvl w:ilvl="2" w:tentative="0">
      <w:start w:val="1"/>
      <w:numFmt w:val="decimal"/>
      <w:lvlText w:val="%1.%2.%3"/>
      <w:lvlJc w:val="left"/>
      <w:pPr>
        <w:ind w:left="1854" w:hanging="720"/>
      </w:pPr>
      <w:rPr>
        <w:rFonts w:hint="default" w:asciiTheme="majorBidi" w:hAnsiTheme="majorBidi" w:cstheme="majorBidi"/>
        <w:b w:val="0"/>
        <w:bCs/>
        <w:sz w:val="24"/>
      </w:rPr>
    </w:lvl>
    <w:lvl w:ilvl="3" w:tentative="0">
      <w:start w:val="1"/>
      <w:numFmt w:val="decimal"/>
      <w:lvlText w:val="%1.%2.%3.%4"/>
      <w:lvlJc w:val="left"/>
      <w:pPr>
        <w:ind w:left="2781" w:hanging="1080"/>
      </w:pPr>
      <w:rPr>
        <w:rFonts w:hint="default" w:asciiTheme="majorBidi" w:hAnsiTheme="majorBidi" w:cstheme="majorBidi"/>
        <w:b/>
        <w:sz w:val="24"/>
      </w:rPr>
    </w:lvl>
    <w:lvl w:ilvl="4" w:tentative="0">
      <w:start w:val="1"/>
      <w:numFmt w:val="decimal"/>
      <w:lvlText w:val="%1.%2.%3.%4.%5"/>
      <w:lvlJc w:val="left"/>
      <w:pPr>
        <w:ind w:left="3348" w:hanging="1080"/>
      </w:pPr>
      <w:rPr>
        <w:rFonts w:hint="default" w:asciiTheme="majorBidi" w:hAnsiTheme="majorBidi" w:cstheme="majorBidi"/>
        <w:b/>
        <w:sz w:val="24"/>
      </w:rPr>
    </w:lvl>
    <w:lvl w:ilvl="5" w:tentative="0">
      <w:start w:val="1"/>
      <w:numFmt w:val="decimal"/>
      <w:lvlText w:val="%1.%2.%3.%4.%5.%6"/>
      <w:lvlJc w:val="left"/>
      <w:pPr>
        <w:ind w:left="4275" w:hanging="1440"/>
      </w:pPr>
      <w:rPr>
        <w:rFonts w:hint="default" w:asciiTheme="majorBidi" w:hAnsiTheme="majorBidi" w:cstheme="majorBidi"/>
        <w:b/>
        <w:sz w:val="24"/>
      </w:rPr>
    </w:lvl>
    <w:lvl w:ilvl="6" w:tentative="0">
      <w:start w:val="1"/>
      <w:numFmt w:val="decimal"/>
      <w:lvlText w:val="%1.%2.%3.%4.%5.%6.%7"/>
      <w:lvlJc w:val="left"/>
      <w:pPr>
        <w:ind w:left="4842" w:hanging="1440"/>
      </w:pPr>
      <w:rPr>
        <w:rFonts w:hint="default" w:asciiTheme="majorBidi" w:hAnsiTheme="majorBidi" w:cstheme="majorBidi"/>
        <w:b/>
        <w:sz w:val="24"/>
      </w:rPr>
    </w:lvl>
    <w:lvl w:ilvl="7" w:tentative="0">
      <w:start w:val="1"/>
      <w:numFmt w:val="decimal"/>
      <w:lvlText w:val="%1.%2.%3.%4.%5.%6.%7.%8"/>
      <w:lvlJc w:val="left"/>
      <w:pPr>
        <w:ind w:left="5769" w:hanging="1800"/>
      </w:pPr>
      <w:rPr>
        <w:rFonts w:hint="default" w:asciiTheme="majorBidi" w:hAnsiTheme="majorBidi" w:cstheme="majorBidi"/>
        <w:b/>
        <w:sz w:val="24"/>
      </w:rPr>
    </w:lvl>
    <w:lvl w:ilvl="8" w:tentative="0">
      <w:start w:val="1"/>
      <w:numFmt w:val="decimal"/>
      <w:lvlText w:val="%1.%2.%3.%4.%5.%6.%7.%8.%9"/>
      <w:lvlJc w:val="left"/>
      <w:pPr>
        <w:ind w:left="6696" w:hanging="2160"/>
      </w:pPr>
      <w:rPr>
        <w:rFonts w:hint="default" w:asciiTheme="majorBidi" w:hAnsiTheme="majorBidi" w:cstheme="majorBidi"/>
        <w:b/>
        <w:sz w:val="24"/>
      </w:rPr>
    </w:lvl>
  </w:abstractNum>
  <w:abstractNum w:abstractNumId="21">
    <w:nsid w:val="398F4FAB"/>
    <w:multiLevelType w:val="multilevel"/>
    <w:tmpl w:val="398F4FAB"/>
    <w:lvl w:ilvl="0" w:tentative="0">
      <w:start w:val="1"/>
      <w:numFmt w:val="bullet"/>
      <w:lvlText w:val=""/>
      <w:lvlJc w:val="left"/>
      <w:pPr>
        <w:ind w:left="780" w:hanging="360"/>
      </w:pPr>
      <w:rPr>
        <w:rFonts w:hint="default" w:ascii="Wingdings" w:hAnsi="Wingdings"/>
      </w:rPr>
    </w:lvl>
    <w:lvl w:ilvl="1" w:tentative="0">
      <w:start w:val="1"/>
      <w:numFmt w:val="bullet"/>
      <w:lvlText w:val="o"/>
      <w:lvlJc w:val="left"/>
      <w:pPr>
        <w:ind w:left="1500" w:hanging="360"/>
      </w:pPr>
      <w:rPr>
        <w:rFonts w:hint="default" w:ascii="Courier New" w:hAnsi="Courier New" w:cs="Courier New"/>
      </w:rPr>
    </w:lvl>
    <w:lvl w:ilvl="2" w:tentative="0">
      <w:start w:val="1"/>
      <w:numFmt w:val="bullet"/>
      <w:lvlText w:val=""/>
      <w:lvlJc w:val="left"/>
      <w:pPr>
        <w:ind w:left="2220" w:hanging="360"/>
      </w:pPr>
      <w:rPr>
        <w:rFonts w:hint="default" w:ascii="Wingdings" w:hAnsi="Wingdings"/>
      </w:rPr>
    </w:lvl>
    <w:lvl w:ilvl="3" w:tentative="0">
      <w:start w:val="1"/>
      <w:numFmt w:val="bullet"/>
      <w:lvlText w:val=""/>
      <w:lvlJc w:val="left"/>
      <w:pPr>
        <w:ind w:left="2940" w:hanging="360"/>
      </w:pPr>
      <w:rPr>
        <w:rFonts w:hint="default" w:ascii="Symbol" w:hAnsi="Symbol"/>
      </w:rPr>
    </w:lvl>
    <w:lvl w:ilvl="4" w:tentative="0">
      <w:start w:val="1"/>
      <w:numFmt w:val="bullet"/>
      <w:lvlText w:val="o"/>
      <w:lvlJc w:val="left"/>
      <w:pPr>
        <w:ind w:left="3660" w:hanging="360"/>
      </w:pPr>
      <w:rPr>
        <w:rFonts w:hint="default" w:ascii="Courier New" w:hAnsi="Courier New" w:cs="Courier New"/>
      </w:rPr>
    </w:lvl>
    <w:lvl w:ilvl="5" w:tentative="0">
      <w:start w:val="1"/>
      <w:numFmt w:val="bullet"/>
      <w:lvlText w:val=""/>
      <w:lvlJc w:val="left"/>
      <w:pPr>
        <w:ind w:left="4380" w:hanging="360"/>
      </w:pPr>
      <w:rPr>
        <w:rFonts w:hint="default" w:ascii="Wingdings" w:hAnsi="Wingdings"/>
      </w:rPr>
    </w:lvl>
    <w:lvl w:ilvl="6" w:tentative="0">
      <w:start w:val="1"/>
      <w:numFmt w:val="bullet"/>
      <w:lvlText w:val=""/>
      <w:lvlJc w:val="left"/>
      <w:pPr>
        <w:ind w:left="5100" w:hanging="360"/>
      </w:pPr>
      <w:rPr>
        <w:rFonts w:hint="default" w:ascii="Symbol" w:hAnsi="Symbol"/>
      </w:rPr>
    </w:lvl>
    <w:lvl w:ilvl="7" w:tentative="0">
      <w:start w:val="1"/>
      <w:numFmt w:val="bullet"/>
      <w:lvlText w:val="o"/>
      <w:lvlJc w:val="left"/>
      <w:pPr>
        <w:ind w:left="5820" w:hanging="360"/>
      </w:pPr>
      <w:rPr>
        <w:rFonts w:hint="default" w:ascii="Courier New" w:hAnsi="Courier New" w:cs="Courier New"/>
      </w:rPr>
    </w:lvl>
    <w:lvl w:ilvl="8" w:tentative="0">
      <w:start w:val="1"/>
      <w:numFmt w:val="bullet"/>
      <w:lvlText w:val=""/>
      <w:lvlJc w:val="left"/>
      <w:pPr>
        <w:ind w:left="6540" w:hanging="360"/>
      </w:pPr>
      <w:rPr>
        <w:rFonts w:hint="default" w:ascii="Wingdings" w:hAnsi="Wingdings"/>
      </w:rPr>
    </w:lvl>
  </w:abstractNum>
  <w:abstractNum w:abstractNumId="22">
    <w:nsid w:val="3ACD0C9D"/>
    <w:multiLevelType w:val="multilevel"/>
    <w:tmpl w:val="3ACD0C9D"/>
    <w:lvl w:ilvl="0" w:tentative="0">
      <w:start w:val="1"/>
      <w:numFmt w:val="bullet"/>
      <w:lvlText w:val=""/>
      <w:lvlJc w:val="left"/>
      <w:pPr>
        <w:ind w:left="1005" w:hanging="360"/>
      </w:pPr>
      <w:rPr>
        <w:rFonts w:hint="default" w:ascii="Symbol" w:hAnsi="Symbol"/>
      </w:rPr>
    </w:lvl>
    <w:lvl w:ilvl="1" w:tentative="0">
      <w:start w:val="1"/>
      <w:numFmt w:val="bullet"/>
      <w:lvlText w:val="o"/>
      <w:lvlJc w:val="left"/>
      <w:pPr>
        <w:ind w:left="1725" w:hanging="360"/>
      </w:pPr>
      <w:rPr>
        <w:rFonts w:hint="default" w:ascii="Courier New" w:hAnsi="Courier New" w:cs="Courier New"/>
      </w:rPr>
    </w:lvl>
    <w:lvl w:ilvl="2" w:tentative="0">
      <w:start w:val="1"/>
      <w:numFmt w:val="bullet"/>
      <w:lvlText w:val=""/>
      <w:lvlJc w:val="left"/>
      <w:pPr>
        <w:ind w:left="2445" w:hanging="360"/>
      </w:pPr>
      <w:rPr>
        <w:rFonts w:hint="default" w:ascii="Wingdings" w:hAnsi="Wingdings"/>
      </w:rPr>
    </w:lvl>
    <w:lvl w:ilvl="3" w:tentative="0">
      <w:start w:val="1"/>
      <w:numFmt w:val="bullet"/>
      <w:lvlText w:val=""/>
      <w:lvlJc w:val="left"/>
      <w:pPr>
        <w:ind w:left="3165" w:hanging="360"/>
      </w:pPr>
      <w:rPr>
        <w:rFonts w:hint="default" w:ascii="Symbol" w:hAnsi="Symbol"/>
      </w:rPr>
    </w:lvl>
    <w:lvl w:ilvl="4" w:tentative="0">
      <w:start w:val="1"/>
      <w:numFmt w:val="bullet"/>
      <w:lvlText w:val="o"/>
      <w:lvlJc w:val="left"/>
      <w:pPr>
        <w:ind w:left="3885" w:hanging="360"/>
      </w:pPr>
      <w:rPr>
        <w:rFonts w:hint="default" w:ascii="Courier New" w:hAnsi="Courier New" w:cs="Courier New"/>
      </w:rPr>
    </w:lvl>
    <w:lvl w:ilvl="5" w:tentative="0">
      <w:start w:val="1"/>
      <w:numFmt w:val="bullet"/>
      <w:lvlText w:val=""/>
      <w:lvlJc w:val="left"/>
      <w:pPr>
        <w:ind w:left="4605" w:hanging="360"/>
      </w:pPr>
      <w:rPr>
        <w:rFonts w:hint="default" w:ascii="Wingdings" w:hAnsi="Wingdings"/>
      </w:rPr>
    </w:lvl>
    <w:lvl w:ilvl="6" w:tentative="0">
      <w:start w:val="1"/>
      <w:numFmt w:val="bullet"/>
      <w:lvlText w:val=""/>
      <w:lvlJc w:val="left"/>
      <w:pPr>
        <w:ind w:left="5325" w:hanging="360"/>
      </w:pPr>
      <w:rPr>
        <w:rFonts w:hint="default" w:ascii="Symbol" w:hAnsi="Symbol"/>
      </w:rPr>
    </w:lvl>
    <w:lvl w:ilvl="7" w:tentative="0">
      <w:start w:val="1"/>
      <w:numFmt w:val="bullet"/>
      <w:lvlText w:val="o"/>
      <w:lvlJc w:val="left"/>
      <w:pPr>
        <w:ind w:left="6045" w:hanging="360"/>
      </w:pPr>
      <w:rPr>
        <w:rFonts w:hint="default" w:ascii="Courier New" w:hAnsi="Courier New" w:cs="Courier New"/>
      </w:rPr>
    </w:lvl>
    <w:lvl w:ilvl="8" w:tentative="0">
      <w:start w:val="1"/>
      <w:numFmt w:val="bullet"/>
      <w:lvlText w:val=""/>
      <w:lvlJc w:val="left"/>
      <w:pPr>
        <w:ind w:left="6765" w:hanging="360"/>
      </w:pPr>
      <w:rPr>
        <w:rFonts w:hint="default" w:ascii="Wingdings" w:hAnsi="Wingdings"/>
      </w:rPr>
    </w:lvl>
  </w:abstractNum>
  <w:abstractNum w:abstractNumId="23">
    <w:nsid w:val="3F415FEA"/>
    <w:multiLevelType w:val="multilevel"/>
    <w:tmpl w:val="3F415FEA"/>
    <w:lvl w:ilvl="0" w:tentative="0">
      <w:start w:val="1"/>
      <w:numFmt w:val="bullet"/>
      <w:lvlText w:val=""/>
      <w:lvlJc w:val="left"/>
      <w:pPr>
        <w:ind w:left="780" w:hanging="360"/>
      </w:pPr>
      <w:rPr>
        <w:rFonts w:hint="default" w:ascii="Wingdings" w:hAnsi="Wingdings"/>
      </w:rPr>
    </w:lvl>
    <w:lvl w:ilvl="1" w:tentative="0">
      <w:start w:val="1"/>
      <w:numFmt w:val="bullet"/>
      <w:lvlText w:val="o"/>
      <w:lvlJc w:val="left"/>
      <w:pPr>
        <w:ind w:left="1500" w:hanging="360"/>
      </w:pPr>
      <w:rPr>
        <w:rFonts w:hint="default" w:ascii="Courier New" w:hAnsi="Courier New" w:cs="Courier New"/>
      </w:rPr>
    </w:lvl>
    <w:lvl w:ilvl="2" w:tentative="0">
      <w:start w:val="1"/>
      <w:numFmt w:val="bullet"/>
      <w:lvlText w:val=""/>
      <w:lvlJc w:val="left"/>
      <w:pPr>
        <w:ind w:left="2220" w:hanging="360"/>
      </w:pPr>
      <w:rPr>
        <w:rFonts w:hint="default" w:ascii="Wingdings" w:hAnsi="Wingdings"/>
      </w:rPr>
    </w:lvl>
    <w:lvl w:ilvl="3" w:tentative="0">
      <w:start w:val="1"/>
      <w:numFmt w:val="bullet"/>
      <w:lvlText w:val=""/>
      <w:lvlJc w:val="left"/>
      <w:pPr>
        <w:ind w:left="2940" w:hanging="360"/>
      </w:pPr>
      <w:rPr>
        <w:rFonts w:hint="default" w:ascii="Symbol" w:hAnsi="Symbol"/>
      </w:rPr>
    </w:lvl>
    <w:lvl w:ilvl="4" w:tentative="0">
      <w:start w:val="1"/>
      <w:numFmt w:val="bullet"/>
      <w:lvlText w:val="o"/>
      <w:lvlJc w:val="left"/>
      <w:pPr>
        <w:ind w:left="3660" w:hanging="360"/>
      </w:pPr>
      <w:rPr>
        <w:rFonts w:hint="default" w:ascii="Courier New" w:hAnsi="Courier New" w:cs="Courier New"/>
      </w:rPr>
    </w:lvl>
    <w:lvl w:ilvl="5" w:tentative="0">
      <w:start w:val="1"/>
      <w:numFmt w:val="bullet"/>
      <w:lvlText w:val=""/>
      <w:lvlJc w:val="left"/>
      <w:pPr>
        <w:ind w:left="4380" w:hanging="360"/>
      </w:pPr>
      <w:rPr>
        <w:rFonts w:hint="default" w:ascii="Wingdings" w:hAnsi="Wingdings"/>
      </w:rPr>
    </w:lvl>
    <w:lvl w:ilvl="6" w:tentative="0">
      <w:start w:val="1"/>
      <w:numFmt w:val="bullet"/>
      <w:lvlText w:val=""/>
      <w:lvlJc w:val="left"/>
      <w:pPr>
        <w:ind w:left="5100" w:hanging="360"/>
      </w:pPr>
      <w:rPr>
        <w:rFonts w:hint="default" w:ascii="Symbol" w:hAnsi="Symbol"/>
      </w:rPr>
    </w:lvl>
    <w:lvl w:ilvl="7" w:tentative="0">
      <w:start w:val="1"/>
      <w:numFmt w:val="bullet"/>
      <w:lvlText w:val="o"/>
      <w:lvlJc w:val="left"/>
      <w:pPr>
        <w:ind w:left="5820" w:hanging="360"/>
      </w:pPr>
      <w:rPr>
        <w:rFonts w:hint="default" w:ascii="Courier New" w:hAnsi="Courier New" w:cs="Courier New"/>
      </w:rPr>
    </w:lvl>
    <w:lvl w:ilvl="8" w:tentative="0">
      <w:start w:val="1"/>
      <w:numFmt w:val="bullet"/>
      <w:lvlText w:val=""/>
      <w:lvlJc w:val="left"/>
      <w:pPr>
        <w:ind w:left="6540" w:hanging="360"/>
      </w:pPr>
      <w:rPr>
        <w:rFonts w:hint="default" w:ascii="Wingdings" w:hAnsi="Wingdings"/>
      </w:rPr>
    </w:lvl>
  </w:abstractNum>
  <w:abstractNum w:abstractNumId="24">
    <w:nsid w:val="434D24DA"/>
    <w:multiLevelType w:val="multilevel"/>
    <w:tmpl w:val="434D24DA"/>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5">
    <w:nsid w:val="4DD232AC"/>
    <w:multiLevelType w:val="multilevel"/>
    <w:tmpl w:val="4DD232AC"/>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6">
    <w:nsid w:val="51B0125C"/>
    <w:multiLevelType w:val="multilevel"/>
    <w:tmpl w:val="51B0125C"/>
    <w:lvl w:ilvl="0" w:tentative="0">
      <w:start w:val="1"/>
      <w:numFmt w:val="bullet"/>
      <w:lvlText w:val=""/>
      <w:lvlJc w:val="left"/>
      <w:pPr>
        <w:ind w:left="1080" w:hanging="360"/>
      </w:pPr>
      <w:rPr>
        <w:rFonts w:hint="default" w:ascii="Wingdings" w:hAnsi="Wingdings"/>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27">
    <w:nsid w:val="52623223"/>
    <w:multiLevelType w:val="multilevel"/>
    <w:tmpl w:val="52623223"/>
    <w:lvl w:ilvl="0" w:tentative="0">
      <w:start w:val="1"/>
      <w:numFmt w:val="bullet"/>
      <w:lvlText w:val=""/>
      <w:lvlJc w:val="left"/>
      <w:pPr>
        <w:ind w:left="928" w:hanging="360"/>
      </w:pPr>
      <w:rPr>
        <w:rFonts w:hint="default" w:ascii="Wingdings" w:hAnsi="Wingdings"/>
      </w:rPr>
    </w:lvl>
    <w:lvl w:ilvl="1" w:tentative="0">
      <w:start w:val="1"/>
      <w:numFmt w:val="bullet"/>
      <w:lvlText w:val="o"/>
      <w:lvlJc w:val="left"/>
      <w:pPr>
        <w:ind w:left="1500" w:hanging="360"/>
      </w:pPr>
      <w:rPr>
        <w:rFonts w:hint="default" w:ascii="Courier New" w:hAnsi="Courier New" w:cs="Courier New"/>
      </w:rPr>
    </w:lvl>
    <w:lvl w:ilvl="2" w:tentative="0">
      <w:start w:val="1"/>
      <w:numFmt w:val="bullet"/>
      <w:lvlText w:val=""/>
      <w:lvlJc w:val="left"/>
      <w:pPr>
        <w:ind w:left="2220" w:hanging="360"/>
      </w:pPr>
      <w:rPr>
        <w:rFonts w:hint="default" w:ascii="Wingdings" w:hAnsi="Wingdings"/>
      </w:rPr>
    </w:lvl>
    <w:lvl w:ilvl="3" w:tentative="0">
      <w:start w:val="1"/>
      <w:numFmt w:val="bullet"/>
      <w:lvlText w:val=""/>
      <w:lvlJc w:val="left"/>
      <w:pPr>
        <w:ind w:left="2940" w:hanging="360"/>
      </w:pPr>
      <w:rPr>
        <w:rFonts w:hint="default" w:ascii="Symbol" w:hAnsi="Symbol"/>
      </w:rPr>
    </w:lvl>
    <w:lvl w:ilvl="4" w:tentative="0">
      <w:start w:val="1"/>
      <w:numFmt w:val="bullet"/>
      <w:lvlText w:val="o"/>
      <w:lvlJc w:val="left"/>
      <w:pPr>
        <w:ind w:left="3660" w:hanging="360"/>
      </w:pPr>
      <w:rPr>
        <w:rFonts w:hint="default" w:ascii="Courier New" w:hAnsi="Courier New" w:cs="Courier New"/>
      </w:rPr>
    </w:lvl>
    <w:lvl w:ilvl="5" w:tentative="0">
      <w:start w:val="1"/>
      <w:numFmt w:val="bullet"/>
      <w:lvlText w:val=""/>
      <w:lvlJc w:val="left"/>
      <w:pPr>
        <w:ind w:left="4380" w:hanging="360"/>
      </w:pPr>
      <w:rPr>
        <w:rFonts w:hint="default" w:ascii="Wingdings" w:hAnsi="Wingdings"/>
      </w:rPr>
    </w:lvl>
    <w:lvl w:ilvl="6" w:tentative="0">
      <w:start w:val="1"/>
      <w:numFmt w:val="bullet"/>
      <w:lvlText w:val=""/>
      <w:lvlJc w:val="left"/>
      <w:pPr>
        <w:ind w:left="5100" w:hanging="360"/>
      </w:pPr>
      <w:rPr>
        <w:rFonts w:hint="default" w:ascii="Symbol" w:hAnsi="Symbol"/>
      </w:rPr>
    </w:lvl>
    <w:lvl w:ilvl="7" w:tentative="0">
      <w:start w:val="1"/>
      <w:numFmt w:val="bullet"/>
      <w:lvlText w:val="o"/>
      <w:lvlJc w:val="left"/>
      <w:pPr>
        <w:ind w:left="5820" w:hanging="360"/>
      </w:pPr>
      <w:rPr>
        <w:rFonts w:hint="default" w:ascii="Courier New" w:hAnsi="Courier New" w:cs="Courier New"/>
      </w:rPr>
    </w:lvl>
    <w:lvl w:ilvl="8" w:tentative="0">
      <w:start w:val="1"/>
      <w:numFmt w:val="bullet"/>
      <w:lvlText w:val=""/>
      <w:lvlJc w:val="left"/>
      <w:pPr>
        <w:ind w:left="6540" w:hanging="360"/>
      </w:pPr>
      <w:rPr>
        <w:rFonts w:hint="default" w:ascii="Wingdings" w:hAnsi="Wingdings"/>
      </w:rPr>
    </w:lvl>
  </w:abstractNum>
  <w:abstractNum w:abstractNumId="28">
    <w:nsid w:val="53C039DC"/>
    <w:multiLevelType w:val="multilevel"/>
    <w:tmpl w:val="53C039DC"/>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9">
    <w:nsid w:val="573D16C5"/>
    <w:multiLevelType w:val="multilevel"/>
    <w:tmpl w:val="573D16C5"/>
    <w:lvl w:ilvl="0" w:tentative="0">
      <w:start w:val="1"/>
      <w:numFmt w:val="bullet"/>
      <w:lvlText w:val=""/>
      <w:lvlJc w:val="left"/>
      <w:pPr>
        <w:ind w:left="1335" w:hanging="360"/>
      </w:pPr>
      <w:rPr>
        <w:rFonts w:hint="default" w:ascii="Wingdings" w:hAnsi="Wingdings"/>
      </w:rPr>
    </w:lvl>
    <w:lvl w:ilvl="1" w:tentative="0">
      <w:start w:val="1"/>
      <w:numFmt w:val="bullet"/>
      <w:lvlText w:val="o"/>
      <w:lvlJc w:val="left"/>
      <w:pPr>
        <w:ind w:left="2055" w:hanging="360"/>
      </w:pPr>
      <w:rPr>
        <w:rFonts w:hint="default" w:ascii="Courier New" w:hAnsi="Courier New" w:cs="Courier New"/>
      </w:rPr>
    </w:lvl>
    <w:lvl w:ilvl="2" w:tentative="0">
      <w:start w:val="1"/>
      <w:numFmt w:val="bullet"/>
      <w:lvlText w:val=""/>
      <w:lvlJc w:val="left"/>
      <w:pPr>
        <w:ind w:left="2775" w:hanging="360"/>
      </w:pPr>
      <w:rPr>
        <w:rFonts w:hint="default" w:ascii="Wingdings" w:hAnsi="Wingdings"/>
      </w:rPr>
    </w:lvl>
    <w:lvl w:ilvl="3" w:tentative="0">
      <w:start w:val="1"/>
      <w:numFmt w:val="bullet"/>
      <w:lvlText w:val=""/>
      <w:lvlJc w:val="left"/>
      <w:pPr>
        <w:ind w:left="3495" w:hanging="360"/>
      </w:pPr>
      <w:rPr>
        <w:rFonts w:hint="default" w:ascii="Symbol" w:hAnsi="Symbol"/>
      </w:rPr>
    </w:lvl>
    <w:lvl w:ilvl="4" w:tentative="0">
      <w:start w:val="1"/>
      <w:numFmt w:val="bullet"/>
      <w:lvlText w:val="o"/>
      <w:lvlJc w:val="left"/>
      <w:pPr>
        <w:ind w:left="4215" w:hanging="360"/>
      </w:pPr>
      <w:rPr>
        <w:rFonts w:hint="default" w:ascii="Courier New" w:hAnsi="Courier New" w:cs="Courier New"/>
      </w:rPr>
    </w:lvl>
    <w:lvl w:ilvl="5" w:tentative="0">
      <w:start w:val="1"/>
      <w:numFmt w:val="bullet"/>
      <w:lvlText w:val=""/>
      <w:lvlJc w:val="left"/>
      <w:pPr>
        <w:ind w:left="4935" w:hanging="360"/>
      </w:pPr>
      <w:rPr>
        <w:rFonts w:hint="default" w:ascii="Wingdings" w:hAnsi="Wingdings"/>
      </w:rPr>
    </w:lvl>
    <w:lvl w:ilvl="6" w:tentative="0">
      <w:start w:val="1"/>
      <w:numFmt w:val="bullet"/>
      <w:lvlText w:val=""/>
      <w:lvlJc w:val="left"/>
      <w:pPr>
        <w:ind w:left="5655" w:hanging="360"/>
      </w:pPr>
      <w:rPr>
        <w:rFonts w:hint="default" w:ascii="Symbol" w:hAnsi="Symbol"/>
      </w:rPr>
    </w:lvl>
    <w:lvl w:ilvl="7" w:tentative="0">
      <w:start w:val="1"/>
      <w:numFmt w:val="bullet"/>
      <w:lvlText w:val="o"/>
      <w:lvlJc w:val="left"/>
      <w:pPr>
        <w:ind w:left="6375" w:hanging="360"/>
      </w:pPr>
      <w:rPr>
        <w:rFonts w:hint="default" w:ascii="Courier New" w:hAnsi="Courier New" w:cs="Courier New"/>
      </w:rPr>
    </w:lvl>
    <w:lvl w:ilvl="8" w:tentative="0">
      <w:start w:val="1"/>
      <w:numFmt w:val="bullet"/>
      <w:lvlText w:val=""/>
      <w:lvlJc w:val="left"/>
      <w:pPr>
        <w:ind w:left="7095" w:hanging="360"/>
      </w:pPr>
      <w:rPr>
        <w:rFonts w:hint="default" w:ascii="Wingdings" w:hAnsi="Wingdings"/>
      </w:rPr>
    </w:lvl>
  </w:abstractNum>
  <w:abstractNum w:abstractNumId="30">
    <w:nsid w:val="579D57D2"/>
    <w:multiLevelType w:val="multilevel"/>
    <w:tmpl w:val="579D57D2"/>
    <w:lvl w:ilvl="0" w:tentative="0">
      <w:start w:val="4"/>
      <w:numFmt w:val="decimal"/>
      <w:lvlText w:val="%1"/>
      <w:lvlJc w:val="left"/>
      <w:pPr>
        <w:ind w:left="360" w:hanging="360"/>
      </w:pPr>
      <w:rPr>
        <w:rFonts w:hint="default"/>
      </w:rPr>
    </w:lvl>
    <w:lvl w:ilvl="1" w:tentative="0">
      <w:start w:val="1"/>
      <w:numFmt w:val="decimal"/>
      <w:lvlText w:val="%1.%2"/>
      <w:lvlJc w:val="left"/>
      <w:pPr>
        <w:ind w:left="1080" w:hanging="360"/>
      </w:pPr>
      <w:rPr>
        <w:rFonts w:hint="default"/>
      </w:rPr>
    </w:lvl>
    <w:lvl w:ilvl="2" w:tentative="0">
      <w:start w:val="1"/>
      <w:numFmt w:val="decimal"/>
      <w:lvlText w:val="%1.%2.%3"/>
      <w:lvlJc w:val="left"/>
      <w:pPr>
        <w:ind w:left="2160" w:hanging="720"/>
      </w:pPr>
      <w:rPr>
        <w:rFonts w:hint="default"/>
      </w:rPr>
    </w:lvl>
    <w:lvl w:ilvl="3" w:tentative="0">
      <w:start w:val="1"/>
      <w:numFmt w:val="decimal"/>
      <w:lvlText w:val="%1.%2.%3.%4"/>
      <w:lvlJc w:val="left"/>
      <w:pPr>
        <w:ind w:left="2880" w:hanging="720"/>
      </w:pPr>
      <w:rPr>
        <w:rFonts w:hint="default"/>
      </w:rPr>
    </w:lvl>
    <w:lvl w:ilvl="4" w:tentative="0">
      <w:start w:val="1"/>
      <w:numFmt w:val="decimal"/>
      <w:lvlText w:val="%1.%2.%3.%4.%5"/>
      <w:lvlJc w:val="left"/>
      <w:pPr>
        <w:ind w:left="3960" w:hanging="1080"/>
      </w:pPr>
      <w:rPr>
        <w:rFonts w:hint="default"/>
      </w:rPr>
    </w:lvl>
    <w:lvl w:ilvl="5" w:tentative="0">
      <w:start w:val="1"/>
      <w:numFmt w:val="decimal"/>
      <w:lvlText w:val="%1.%2.%3.%4.%5.%6"/>
      <w:lvlJc w:val="left"/>
      <w:pPr>
        <w:ind w:left="4680" w:hanging="1080"/>
      </w:pPr>
      <w:rPr>
        <w:rFonts w:hint="default"/>
      </w:rPr>
    </w:lvl>
    <w:lvl w:ilvl="6" w:tentative="0">
      <w:start w:val="1"/>
      <w:numFmt w:val="decimal"/>
      <w:lvlText w:val="%1.%2.%3.%4.%5.%6.%7"/>
      <w:lvlJc w:val="left"/>
      <w:pPr>
        <w:ind w:left="5760" w:hanging="1440"/>
      </w:pPr>
      <w:rPr>
        <w:rFonts w:hint="default"/>
      </w:rPr>
    </w:lvl>
    <w:lvl w:ilvl="7" w:tentative="0">
      <w:start w:val="1"/>
      <w:numFmt w:val="decimal"/>
      <w:lvlText w:val="%1.%2.%3.%4.%5.%6.%7.%8"/>
      <w:lvlJc w:val="left"/>
      <w:pPr>
        <w:ind w:left="6480" w:hanging="1440"/>
      </w:pPr>
      <w:rPr>
        <w:rFonts w:hint="default"/>
      </w:rPr>
    </w:lvl>
    <w:lvl w:ilvl="8" w:tentative="0">
      <w:start w:val="1"/>
      <w:numFmt w:val="decimal"/>
      <w:lvlText w:val="%1.%2.%3.%4.%5.%6.%7.%8.%9"/>
      <w:lvlJc w:val="left"/>
      <w:pPr>
        <w:ind w:left="7560" w:hanging="1800"/>
      </w:pPr>
      <w:rPr>
        <w:rFonts w:hint="default"/>
      </w:rPr>
    </w:lvl>
  </w:abstractNum>
  <w:abstractNum w:abstractNumId="31">
    <w:nsid w:val="5AC16BA0"/>
    <w:multiLevelType w:val="multilevel"/>
    <w:tmpl w:val="5AC16BA0"/>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2">
    <w:nsid w:val="5BAD50F2"/>
    <w:multiLevelType w:val="multilevel"/>
    <w:tmpl w:val="5BAD50F2"/>
    <w:lvl w:ilvl="0" w:tentative="0">
      <w:start w:val="1"/>
      <w:numFmt w:val="decimal"/>
      <w:lvlText w:val="%1."/>
      <w:lvlJc w:val="left"/>
      <w:pPr>
        <w:ind w:left="720" w:hanging="360"/>
      </w:pPr>
      <w:rPr>
        <w:rFonts w:asciiTheme="majorBidi" w:hAnsiTheme="majorBidi" w:eastAsiaTheme="minorHAnsi" w:cstheme="majorBidi"/>
        <w:b w:val="0"/>
        <w:bCs/>
        <w:sz w:val="24"/>
      </w:rPr>
    </w:lvl>
    <w:lvl w:ilvl="1" w:tentative="0">
      <w:start w:val="1"/>
      <w:numFmt w:val="decimal"/>
      <w:isLgl/>
      <w:lvlText w:val="%1.%2."/>
      <w:lvlJc w:val="left"/>
      <w:pPr>
        <w:ind w:left="1440" w:hanging="720"/>
      </w:pPr>
      <w:rPr>
        <w:rFonts w:hint="default" w:asciiTheme="majorBidi" w:hAnsiTheme="majorBidi" w:cstheme="majorBidi"/>
        <w:b w:val="0"/>
        <w:bCs/>
        <w:sz w:val="24"/>
      </w:rPr>
    </w:lvl>
    <w:lvl w:ilvl="2" w:tentative="0">
      <w:start w:val="1"/>
      <w:numFmt w:val="decimal"/>
      <w:isLgl/>
      <w:lvlText w:val="%1.%2.%3."/>
      <w:lvlJc w:val="left"/>
      <w:pPr>
        <w:ind w:left="1800" w:hanging="720"/>
      </w:pPr>
      <w:rPr>
        <w:rFonts w:hint="default" w:asciiTheme="majorBidi" w:hAnsiTheme="majorBidi" w:cstheme="majorBidi"/>
        <w:b w:val="0"/>
        <w:bCs/>
        <w:sz w:val="24"/>
      </w:rPr>
    </w:lvl>
    <w:lvl w:ilvl="3" w:tentative="0">
      <w:start w:val="1"/>
      <w:numFmt w:val="decimal"/>
      <w:isLgl/>
      <w:lvlText w:val="%1.%2.%3.%4."/>
      <w:lvlJc w:val="left"/>
      <w:pPr>
        <w:ind w:left="2520" w:hanging="1080"/>
      </w:pPr>
      <w:rPr>
        <w:rFonts w:hint="default" w:asciiTheme="majorBidi" w:hAnsiTheme="majorBidi" w:cstheme="majorBidi"/>
        <w:b/>
        <w:sz w:val="24"/>
      </w:rPr>
    </w:lvl>
    <w:lvl w:ilvl="4" w:tentative="0">
      <w:start w:val="1"/>
      <w:numFmt w:val="decimal"/>
      <w:isLgl/>
      <w:lvlText w:val="%1.%2.%3.%4.%5."/>
      <w:lvlJc w:val="left"/>
      <w:pPr>
        <w:ind w:left="2880" w:hanging="1080"/>
      </w:pPr>
      <w:rPr>
        <w:rFonts w:hint="default" w:asciiTheme="majorBidi" w:hAnsiTheme="majorBidi" w:cstheme="majorBidi"/>
        <w:b/>
        <w:sz w:val="24"/>
      </w:rPr>
    </w:lvl>
    <w:lvl w:ilvl="5" w:tentative="0">
      <w:start w:val="1"/>
      <w:numFmt w:val="decimal"/>
      <w:isLgl/>
      <w:lvlText w:val="%1.%2.%3.%4.%5.%6."/>
      <w:lvlJc w:val="left"/>
      <w:pPr>
        <w:ind w:left="3600" w:hanging="1440"/>
      </w:pPr>
      <w:rPr>
        <w:rFonts w:hint="default" w:asciiTheme="majorBidi" w:hAnsiTheme="majorBidi" w:cstheme="majorBidi"/>
        <w:b/>
        <w:sz w:val="24"/>
      </w:rPr>
    </w:lvl>
    <w:lvl w:ilvl="6" w:tentative="0">
      <w:start w:val="1"/>
      <w:numFmt w:val="decimal"/>
      <w:isLgl/>
      <w:lvlText w:val="%1.%2.%3.%4.%5.%6.%7."/>
      <w:lvlJc w:val="left"/>
      <w:pPr>
        <w:ind w:left="4320" w:hanging="1800"/>
      </w:pPr>
      <w:rPr>
        <w:rFonts w:hint="default" w:asciiTheme="majorBidi" w:hAnsiTheme="majorBidi" w:cstheme="majorBidi"/>
        <w:b/>
        <w:sz w:val="24"/>
      </w:rPr>
    </w:lvl>
    <w:lvl w:ilvl="7" w:tentative="0">
      <w:start w:val="1"/>
      <w:numFmt w:val="decimal"/>
      <w:isLgl/>
      <w:lvlText w:val="%1.%2.%3.%4.%5.%6.%7.%8."/>
      <w:lvlJc w:val="left"/>
      <w:pPr>
        <w:ind w:left="4680" w:hanging="1800"/>
      </w:pPr>
      <w:rPr>
        <w:rFonts w:hint="default" w:asciiTheme="majorBidi" w:hAnsiTheme="majorBidi" w:cstheme="majorBidi"/>
        <w:b/>
        <w:sz w:val="24"/>
      </w:rPr>
    </w:lvl>
    <w:lvl w:ilvl="8" w:tentative="0">
      <w:start w:val="1"/>
      <w:numFmt w:val="decimal"/>
      <w:isLgl/>
      <w:lvlText w:val="%1.%2.%3.%4.%5.%6.%7.%8.%9."/>
      <w:lvlJc w:val="left"/>
      <w:pPr>
        <w:ind w:left="5400" w:hanging="2160"/>
      </w:pPr>
      <w:rPr>
        <w:rFonts w:hint="default" w:asciiTheme="majorBidi" w:hAnsiTheme="majorBidi" w:cstheme="majorBidi"/>
        <w:b/>
        <w:sz w:val="24"/>
      </w:rPr>
    </w:lvl>
  </w:abstractNum>
  <w:abstractNum w:abstractNumId="33">
    <w:nsid w:val="5BF76403"/>
    <w:multiLevelType w:val="multilevel"/>
    <w:tmpl w:val="5BF76403"/>
    <w:lvl w:ilvl="0" w:tentative="0">
      <w:start w:val="3"/>
      <w:numFmt w:val="decimal"/>
      <w:lvlText w:val="%1."/>
      <w:lvlJc w:val="left"/>
      <w:pPr>
        <w:ind w:left="360" w:hanging="360"/>
      </w:pPr>
      <w:rPr>
        <w:rFonts w:hint="default" w:asciiTheme="majorBidi" w:hAnsiTheme="majorBidi" w:cstheme="majorBidi"/>
        <w:b w:val="0"/>
        <w:bCs/>
      </w:rPr>
    </w:lvl>
    <w:lvl w:ilvl="1" w:tentative="0">
      <w:start w:val="1"/>
      <w:numFmt w:val="decimal"/>
      <w:lvlText w:val="%1.%2."/>
      <w:lvlJc w:val="left"/>
      <w:pPr>
        <w:ind w:left="1069" w:hanging="360"/>
      </w:pPr>
      <w:rPr>
        <w:rFonts w:hint="default" w:asciiTheme="majorBidi" w:hAnsiTheme="majorBidi" w:cstheme="majorBidi"/>
        <w:b w:val="0"/>
        <w:bCs/>
      </w:rPr>
    </w:lvl>
    <w:lvl w:ilvl="2" w:tentative="0">
      <w:start w:val="1"/>
      <w:numFmt w:val="decimal"/>
      <w:lvlText w:val="%1.%2.%3."/>
      <w:lvlJc w:val="left"/>
      <w:pPr>
        <w:ind w:left="2138" w:hanging="720"/>
      </w:pPr>
      <w:rPr>
        <w:rFonts w:hint="default" w:asciiTheme="majorBidi" w:hAnsiTheme="majorBidi" w:cstheme="majorBidi"/>
        <w:b w:val="0"/>
        <w:bCs/>
      </w:rPr>
    </w:lvl>
    <w:lvl w:ilvl="3" w:tentative="0">
      <w:start w:val="1"/>
      <w:numFmt w:val="decimal"/>
      <w:lvlText w:val="%1.%2.%3.%4."/>
      <w:lvlJc w:val="left"/>
      <w:pPr>
        <w:ind w:left="2847" w:hanging="720"/>
      </w:pPr>
      <w:rPr>
        <w:rFonts w:hint="default" w:asciiTheme="majorBidi" w:hAnsiTheme="majorBidi" w:cstheme="majorBidi"/>
        <w:b/>
      </w:rPr>
    </w:lvl>
    <w:lvl w:ilvl="4" w:tentative="0">
      <w:start w:val="1"/>
      <w:numFmt w:val="decimal"/>
      <w:lvlText w:val="%1.%2.%3.%4.%5."/>
      <w:lvlJc w:val="left"/>
      <w:pPr>
        <w:ind w:left="3916" w:hanging="1080"/>
      </w:pPr>
      <w:rPr>
        <w:rFonts w:hint="default" w:asciiTheme="majorBidi" w:hAnsiTheme="majorBidi" w:cstheme="majorBidi"/>
        <w:b/>
      </w:rPr>
    </w:lvl>
    <w:lvl w:ilvl="5" w:tentative="0">
      <w:start w:val="1"/>
      <w:numFmt w:val="decimal"/>
      <w:lvlText w:val="%1.%2.%3.%4.%5.%6."/>
      <w:lvlJc w:val="left"/>
      <w:pPr>
        <w:ind w:left="4625" w:hanging="1080"/>
      </w:pPr>
      <w:rPr>
        <w:rFonts w:hint="default" w:asciiTheme="majorBidi" w:hAnsiTheme="majorBidi" w:cstheme="majorBidi"/>
        <w:b/>
      </w:rPr>
    </w:lvl>
    <w:lvl w:ilvl="6" w:tentative="0">
      <w:start w:val="1"/>
      <w:numFmt w:val="decimal"/>
      <w:lvlText w:val="%1.%2.%3.%4.%5.%6.%7."/>
      <w:lvlJc w:val="left"/>
      <w:pPr>
        <w:ind w:left="5694" w:hanging="1440"/>
      </w:pPr>
      <w:rPr>
        <w:rFonts w:hint="default" w:asciiTheme="majorBidi" w:hAnsiTheme="majorBidi" w:cstheme="majorBidi"/>
        <w:b/>
      </w:rPr>
    </w:lvl>
    <w:lvl w:ilvl="7" w:tentative="0">
      <w:start w:val="1"/>
      <w:numFmt w:val="decimal"/>
      <w:lvlText w:val="%1.%2.%3.%4.%5.%6.%7.%8."/>
      <w:lvlJc w:val="left"/>
      <w:pPr>
        <w:ind w:left="6403" w:hanging="1440"/>
      </w:pPr>
      <w:rPr>
        <w:rFonts w:hint="default" w:asciiTheme="majorBidi" w:hAnsiTheme="majorBidi" w:cstheme="majorBidi"/>
        <w:b/>
      </w:rPr>
    </w:lvl>
    <w:lvl w:ilvl="8" w:tentative="0">
      <w:start w:val="1"/>
      <w:numFmt w:val="decimal"/>
      <w:lvlText w:val="%1.%2.%3.%4.%5.%6.%7.%8.%9."/>
      <w:lvlJc w:val="left"/>
      <w:pPr>
        <w:ind w:left="7472" w:hanging="1800"/>
      </w:pPr>
      <w:rPr>
        <w:rFonts w:hint="default" w:asciiTheme="majorBidi" w:hAnsiTheme="majorBidi" w:cstheme="majorBidi"/>
        <w:b/>
      </w:rPr>
    </w:lvl>
  </w:abstractNum>
  <w:abstractNum w:abstractNumId="34">
    <w:nsid w:val="69761770"/>
    <w:multiLevelType w:val="multilevel"/>
    <w:tmpl w:val="69761770"/>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5">
    <w:nsid w:val="6CF23BF7"/>
    <w:multiLevelType w:val="multilevel"/>
    <w:tmpl w:val="6CF23BF7"/>
    <w:lvl w:ilvl="0" w:tentative="0">
      <w:start w:val="2"/>
      <w:numFmt w:val="decimal"/>
      <w:lvlText w:val="%1"/>
      <w:lvlJc w:val="left"/>
      <w:pPr>
        <w:ind w:left="360" w:hanging="360"/>
      </w:pPr>
      <w:rPr>
        <w:rFonts w:hint="default"/>
      </w:rPr>
    </w:lvl>
    <w:lvl w:ilvl="1" w:tentative="0">
      <w:start w:val="4"/>
      <w:numFmt w:val="decimal"/>
      <w:lvlText w:val="%1.%2"/>
      <w:lvlJc w:val="left"/>
      <w:pPr>
        <w:ind w:left="360"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36">
    <w:nsid w:val="6DAD5DDA"/>
    <w:multiLevelType w:val="multilevel"/>
    <w:tmpl w:val="6DAD5DDA"/>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7">
    <w:nsid w:val="73BA6863"/>
    <w:multiLevelType w:val="multilevel"/>
    <w:tmpl w:val="73BA6863"/>
    <w:lvl w:ilvl="0" w:tentative="0">
      <w:start w:val="8"/>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8">
    <w:nsid w:val="76E50436"/>
    <w:multiLevelType w:val="multilevel"/>
    <w:tmpl w:val="76E50436"/>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17"/>
  </w:num>
  <w:num w:numId="2">
    <w:abstractNumId w:val="11"/>
  </w:num>
  <w:num w:numId="3">
    <w:abstractNumId w:val="3"/>
  </w:num>
  <w:num w:numId="4">
    <w:abstractNumId w:val="33"/>
  </w:num>
  <w:num w:numId="5">
    <w:abstractNumId w:val="32"/>
  </w:num>
  <w:num w:numId="6">
    <w:abstractNumId w:val="20"/>
  </w:num>
  <w:num w:numId="7">
    <w:abstractNumId w:val="37"/>
  </w:num>
  <w:num w:numId="8">
    <w:abstractNumId w:val="13"/>
  </w:num>
  <w:num w:numId="9">
    <w:abstractNumId w:val="19"/>
  </w:num>
  <w:num w:numId="10">
    <w:abstractNumId w:val="30"/>
  </w:num>
  <w:num w:numId="11">
    <w:abstractNumId w:val="8"/>
  </w:num>
  <w:num w:numId="12">
    <w:abstractNumId w:val="10"/>
  </w:num>
  <w:num w:numId="13">
    <w:abstractNumId w:val="25"/>
  </w:num>
  <w:num w:numId="14">
    <w:abstractNumId w:val="4"/>
  </w:num>
  <w:num w:numId="15">
    <w:abstractNumId w:val="22"/>
  </w:num>
  <w:num w:numId="16">
    <w:abstractNumId w:val="34"/>
  </w:num>
  <w:num w:numId="17">
    <w:abstractNumId w:val="18"/>
  </w:num>
  <w:num w:numId="18">
    <w:abstractNumId w:val="1"/>
  </w:num>
  <w:num w:numId="19">
    <w:abstractNumId w:val="31"/>
  </w:num>
  <w:num w:numId="20">
    <w:abstractNumId w:val="35"/>
  </w:num>
  <w:num w:numId="21">
    <w:abstractNumId w:val="21"/>
  </w:num>
  <w:num w:numId="22">
    <w:abstractNumId w:val="23"/>
  </w:num>
  <w:num w:numId="23">
    <w:abstractNumId w:val="14"/>
  </w:num>
  <w:num w:numId="24">
    <w:abstractNumId w:val="6"/>
  </w:num>
  <w:num w:numId="25">
    <w:abstractNumId w:val="9"/>
  </w:num>
  <w:num w:numId="26">
    <w:abstractNumId w:val="27"/>
  </w:num>
  <w:num w:numId="27">
    <w:abstractNumId w:val="2"/>
  </w:num>
  <w:num w:numId="28">
    <w:abstractNumId w:val="15"/>
  </w:num>
  <w:num w:numId="29">
    <w:abstractNumId w:val="28"/>
  </w:num>
  <w:num w:numId="30">
    <w:abstractNumId w:val="16"/>
  </w:num>
  <w:num w:numId="31">
    <w:abstractNumId w:val="38"/>
  </w:num>
  <w:num w:numId="32">
    <w:abstractNumId w:val="7"/>
  </w:num>
  <w:num w:numId="33">
    <w:abstractNumId w:val="36"/>
  </w:num>
  <w:num w:numId="34">
    <w:abstractNumId w:val="12"/>
  </w:num>
  <w:num w:numId="35">
    <w:abstractNumId w:val="24"/>
  </w:num>
  <w:num w:numId="36">
    <w:abstractNumId w:val="0"/>
  </w:num>
  <w:num w:numId="37">
    <w:abstractNumId w:val="5"/>
  </w:num>
  <w:num w:numId="38">
    <w:abstractNumId w:val="26"/>
  </w:num>
  <w:num w:numId="3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2"/>
  </w:compat>
  <w:rsids>
    <w:rsidRoot w:val="00AE6943"/>
    <w:rsid w:val="0000257A"/>
    <w:rsid w:val="000C7627"/>
    <w:rsid w:val="000D12EA"/>
    <w:rsid w:val="001D027D"/>
    <w:rsid w:val="00265335"/>
    <w:rsid w:val="00286614"/>
    <w:rsid w:val="002E6C3E"/>
    <w:rsid w:val="00304F12"/>
    <w:rsid w:val="004C63E6"/>
    <w:rsid w:val="00515EC3"/>
    <w:rsid w:val="00671693"/>
    <w:rsid w:val="007C509E"/>
    <w:rsid w:val="00806CB4"/>
    <w:rsid w:val="00834D38"/>
    <w:rsid w:val="00883BB7"/>
    <w:rsid w:val="008B1FCE"/>
    <w:rsid w:val="008D7960"/>
    <w:rsid w:val="00A16AF8"/>
    <w:rsid w:val="00A84BB2"/>
    <w:rsid w:val="00A872B1"/>
    <w:rsid w:val="00A87EC0"/>
    <w:rsid w:val="00AA4F62"/>
    <w:rsid w:val="00AB7656"/>
    <w:rsid w:val="00AE6943"/>
    <w:rsid w:val="00B75A6C"/>
    <w:rsid w:val="00C73C2E"/>
    <w:rsid w:val="00DA1011"/>
    <w:rsid w:val="00DF397F"/>
    <w:rsid w:val="00E0060A"/>
    <w:rsid w:val="00E67F06"/>
    <w:rsid w:val="00F1325C"/>
    <w:rsid w:val="00FF2E99"/>
    <w:rsid w:val="07A94068"/>
    <w:rsid w:val="15723DE1"/>
    <w:rsid w:val="33EB6BBB"/>
    <w:rsid w:val="3F7A6532"/>
    <w:rsid w:val="3FCD7E46"/>
    <w:rsid w:val="4184568E"/>
    <w:rsid w:val="43E560F1"/>
    <w:rsid w:val="46AC3EBD"/>
    <w:rsid w:val="51FD3BA8"/>
    <w:rsid w:val="6E0A689B"/>
  </w:rsids>
  <m:mathPr>
    <m:mathFont m:val="Cambria Math"/>
    <m:brkBin m:val="before"/>
    <m:brkBinSub m:val="--"/>
    <m:smallFrac m:val="1"/>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rules v:ext="edit">
        <o:r id="V:Rule1" type="connector" idref="#_x0000_s2058"/>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qFormat="1" w:uiPriority="99" w:name="Balloon Text"/>
    <w:lsdException w:unhideWhenUsed="0" w:uiPriority="59" w:semiHidden="0" w:name="Table Grid"/>
    <w:lsdException w:qFormat="1" w:unhideWhenUsed="0" w:uiPriority="34" w:semiHidden="0" w:name="List Paragraph"/>
  </w:latentStyles>
  <w:style w:type="paragraph" w:default="1" w:styleId="1">
    <w:name w:val="Normal"/>
    <w:qFormat/>
    <w:uiPriority w:val="0"/>
    <w:pPr>
      <w:spacing w:after="200" w:line="276" w:lineRule="auto"/>
    </w:pPr>
    <w:rPr>
      <w:rFonts w:asciiTheme="minorHAnsi" w:hAnsiTheme="minorHAnsi" w:eastAsiaTheme="minorHAnsi" w:cstheme="minorBidi"/>
      <w:sz w:val="22"/>
      <w:szCs w:val="22"/>
      <w:lang w:val="fr-FR" w:eastAsia="en-US" w:bidi="ar-SA"/>
    </w:rPr>
  </w:style>
  <w:style w:type="paragraph" w:styleId="2">
    <w:name w:val="heading 2"/>
    <w:basedOn w:val="1"/>
    <w:next w:val="1"/>
    <w:qFormat/>
    <w:uiPriority w:val="0"/>
    <w:pPr>
      <w:keepNext/>
      <w:spacing w:before="240" w:after="60" w:line="240" w:lineRule="auto"/>
      <w:outlineLvl w:val="1"/>
    </w:pPr>
    <w:rPr>
      <w:rFonts w:ascii="Arial" w:hAnsi="Arial" w:eastAsia="Times New Roman" w:cs="Arial"/>
      <w:b/>
      <w:bCs/>
      <w:i/>
      <w:iCs/>
      <w:sz w:val="28"/>
      <w:szCs w:val="28"/>
    </w:rPr>
  </w:style>
  <w:style w:type="character" w:default="1" w:styleId="3">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4">
    <w:name w:val="Balloon Text"/>
    <w:basedOn w:val="1"/>
    <w:link w:val="9"/>
    <w:semiHidden/>
    <w:unhideWhenUsed/>
    <w:qFormat/>
    <w:uiPriority w:val="99"/>
    <w:pPr>
      <w:spacing w:after="0" w:line="240" w:lineRule="auto"/>
    </w:pPr>
    <w:rPr>
      <w:rFonts w:ascii="Tahoma" w:hAnsi="Tahoma" w:cs="Tahoma"/>
      <w:sz w:val="16"/>
      <w:szCs w:val="16"/>
    </w:rPr>
  </w:style>
  <w:style w:type="paragraph" w:styleId="5">
    <w:name w:val="Normal (Web)"/>
    <w:basedOn w:val="1"/>
    <w:semiHidden/>
    <w:unhideWhenUsed/>
    <w:qFormat/>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styleId="6">
    <w:name w:val="footer"/>
    <w:basedOn w:val="1"/>
    <w:semiHidden/>
    <w:unhideWhenUsed/>
    <w:uiPriority w:val="99"/>
    <w:pPr>
      <w:tabs>
        <w:tab w:val="center" w:pos="4153"/>
        <w:tab w:val="right" w:pos="8306"/>
      </w:tabs>
      <w:snapToGrid w:val="0"/>
      <w:jc w:val="left"/>
    </w:pPr>
    <w:rPr>
      <w:sz w:val="18"/>
      <w:szCs w:val="18"/>
    </w:rPr>
  </w:style>
  <w:style w:type="paragraph" w:styleId="7">
    <w:name w:val="header"/>
    <w:basedOn w:val="1"/>
    <w:unhideWhenUsed/>
    <w:qFormat/>
    <w:uiPriority w:val="99"/>
    <w:pPr>
      <w:tabs>
        <w:tab w:val="center" w:pos="4153"/>
        <w:tab w:val="right" w:pos="8306"/>
      </w:tabs>
      <w:spacing w:after="0"/>
    </w:pPr>
  </w:style>
  <w:style w:type="character" w:customStyle="1" w:styleId="9">
    <w:name w:val="Texte de bulles Car"/>
    <w:basedOn w:val="3"/>
    <w:link w:val="4"/>
    <w:semiHidden/>
    <w:uiPriority w:val="99"/>
    <w:rPr>
      <w:rFonts w:ascii="Tahoma" w:hAnsi="Tahoma" w:cs="Tahoma"/>
      <w:sz w:val="16"/>
      <w:szCs w:val="16"/>
    </w:rPr>
  </w:style>
  <w:style w:type="paragraph" w:styleId="10">
    <w:name w:val="List Paragraph"/>
    <w:basedOn w:val="1"/>
    <w:qFormat/>
    <w:uiPriority w:val="34"/>
    <w:pPr>
      <w:spacing w:after="200" w:line="276" w:lineRule="auto"/>
      <w:ind w:left="720"/>
      <w:contextualSpacing/>
    </w:pPr>
  </w:style>
  <w:style w:type="table" w:styleId="11">
    <w:name w:val="Table Grid"/>
    <w:basedOn w:val="8"/>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2">
    <w:name w:val="Grille claire - Accent 11"/>
    <w:basedOn w:val="8"/>
    <w:qFormat/>
    <w:uiPriority w:val="62"/>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cPr>
        <w:tcBorders>
          <w:top w:val="single" w:color="4F81BD" w:themeColor="accent1" w:sz="8" w:space="0"/>
          <w:left w:val="single" w:color="4F81BD" w:themeColor="accent1" w:sz="8" w:space="0"/>
          <w:bottom w:val="single" w:color="4F81BD" w:themeColor="accent1" w:sz="18" w:space="0"/>
          <w:right w:val="single" w:color="4F81BD"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cPr>
        <w:tcBorders>
          <w:top w:val="double" w:color="4F81BD" w:themeColor="accent1" w:sz="6" w:space="0"/>
          <w:left w:val="single" w:color="4F81BD" w:themeColor="accent1" w:sz="8" w:space="0"/>
          <w:bottom w:val="single" w:color="4F81BD" w:themeColor="accent1" w:sz="8" w:space="0"/>
          <w:right w:val="single" w:color="4F81BD"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shd w:val="clear" w:color="auto" w:fill="D3DFEE" w:themeFill="accent1" w:themeFillTint="3F"/>
      </w:tcPr>
    </w:tblStylePr>
    <w:tblStylePr w:type="band1Horz">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shd w:val="clear" w:color="auto" w:fill="D3DFEE" w:themeFill="accent1" w:themeFillTint="3F"/>
      </w:tcPr>
    </w:tblStylePr>
    <w:tblStylePr w:type="band2Horz">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9" Type="http://schemas.openxmlformats.org/officeDocument/2006/relationships/fontTable" Target="fontTable.xml"/><Relationship Id="rId58" Type="http://schemas.openxmlformats.org/officeDocument/2006/relationships/customXml" Target="../customXml/item2.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png"/><Relationship Id="rId5" Type="http://schemas.openxmlformats.org/officeDocument/2006/relationships/theme" Target="theme/theme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emf"/><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emf"/><Relationship Id="rId4" Type="http://schemas.openxmlformats.org/officeDocument/2006/relationships/endnotes" Target="endnotes.xml"/><Relationship Id="rId39" Type="http://schemas.openxmlformats.org/officeDocument/2006/relationships/image" Target="media/image28.emf"/><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emf"/><Relationship Id="rId33" Type="http://schemas.openxmlformats.org/officeDocument/2006/relationships/image" Target="media/image22.png"/><Relationship Id="rId32" Type="http://schemas.openxmlformats.org/officeDocument/2006/relationships/image" Target="media/image21.emf"/><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chart" Target="charts/chart6.xml"/><Relationship Id="rId22" Type="http://schemas.openxmlformats.org/officeDocument/2006/relationships/chart" Target="charts/chart5.xml"/><Relationship Id="rId21" Type="http://schemas.openxmlformats.org/officeDocument/2006/relationships/chart" Target="charts/chart4.xml"/><Relationship Id="rId20" Type="http://schemas.openxmlformats.org/officeDocument/2006/relationships/chart" Target="charts/chart3.xml"/><Relationship Id="rId2" Type="http://schemas.openxmlformats.org/officeDocument/2006/relationships/settings" Target="settings.xml"/><Relationship Id="rId19" Type="http://schemas.openxmlformats.org/officeDocument/2006/relationships/chart" Target="charts/chart2.xml"/><Relationship Id="rId18" Type="http://schemas.openxmlformats.org/officeDocument/2006/relationships/chart" Target="charts/chart1.xml"/><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emf"/><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Feuil1!$D$2</c:f>
              <c:strCache>
                <c:ptCount val="1"/>
                <c:pt idx="0">
                  <c:v>P(mm)</c:v>
                </c:pt>
              </c:strCache>
            </c:strRef>
          </c:tx>
          <c:marker>
            <c:symbol val="none"/>
          </c:marker>
          <c:dLbls>
            <c:delete val="1"/>
          </c:dLbls>
          <c:cat>
            <c:numRef>
              <c:f>Feuil1!$C$3:$C$22</c:f>
              <c:numCache>
                <c:formatCode>General</c:formatCode>
                <c:ptCount val="20"/>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numCache>
            </c:numRef>
          </c:cat>
          <c:val>
            <c:numRef>
              <c:f>Feuil1!$D$3:$D$22</c:f>
              <c:numCache>
                <c:formatCode>General</c:formatCode>
                <c:ptCount val="20"/>
                <c:pt idx="0">
                  <c:v>137.2</c:v>
                </c:pt>
                <c:pt idx="1">
                  <c:v>347.7</c:v>
                </c:pt>
                <c:pt idx="2">
                  <c:v>398.4</c:v>
                </c:pt>
                <c:pt idx="3">
                  <c:v>284.2</c:v>
                </c:pt>
                <c:pt idx="4">
                  <c:v>324.2</c:v>
                </c:pt>
                <c:pt idx="5">
                  <c:v>219.8</c:v>
                </c:pt>
                <c:pt idx="6">
                  <c:v>353.7</c:v>
                </c:pt>
                <c:pt idx="7">
                  <c:v>487.6</c:v>
                </c:pt>
                <c:pt idx="8">
                  <c:v>423.3</c:v>
                </c:pt>
                <c:pt idx="9">
                  <c:v>298.5</c:v>
                </c:pt>
                <c:pt idx="10">
                  <c:v>482</c:v>
                </c:pt>
                <c:pt idx="11">
                  <c:v>420.1</c:v>
                </c:pt>
                <c:pt idx="12">
                  <c:v>548.1</c:v>
                </c:pt>
                <c:pt idx="13">
                  <c:v>310.4</c:v>
                </c:pt>
                <c:pt idx="14">
                  <c:v>442.9</c:v>
                </c:pt>
                <c:pt idx="15">
                  <c:v>492.7</c:v>
                </c:pt>
                <c:pt idx="16">
                  <c:v>329.2</c:v>
                </c:pt>
                <c:pt idx="17">
                  <c:v>608.4</c:v>
                </c:pt>
                <c:pt idx="18">
                  <c:v>455.8</c:v>
                </c:pt>
                <c:pt idx="19">
                  <c:v>473.9</c:v>
                </c:pt>
              </c:numCache>
            </c:numRef>
          </c:val>
          <c:smooth val="0"/>
        </c:ser>
        <c:dLbls>
          <c:showLegendKey val="0"/>
          <c:showVal val="0"/>
          <c:showCatName val="0"/>
          <c:showSerName val="0"/>
          <c:showPercent val="0"/>
          <c:showBubbleSize val="0"/>
        </c:dLbls>
        <c:hiLowLines/>
        <c:marker val="0"/>
        <c:smooth val="0"/>
        <c:axId val="70734208"/>
        <c:axId val="70736128"/>
      </c:lineChart>
      <c:catAx>
        <c:axId val="70734208"/>
        <c:scaling>
          <c:orientation val="minMax"/>
        </c:scaling>
        <c:delete val="0"/>
        <c:axPos val="b"/>
        <c:title>
          <c:tx>
            <c:rich>
              <a:bodyPr rot="0" spcFirstLastPara="0" vertOverflow="ellipsis" vert="horz" wrap="square" anchor="ctr" anchorCtr="1"/>
              <a:lstStyle/>
              <a:p>
                <a:pPr>
                  <a:defRPr lang="fr-CA" sz="1000" b="1" i="0" u="none" strike="noStrike" kern="1200" baseline="0">
                    <a:solidFill>
                      <a:schemeClr val="dk1"/>
                    </a:solidFill>
                    <a:latin typeface="+mn-lt"/>
                    <a:ea typeface="+mn-ea"/>
                    <a:cs typeface="+mn-cs"/>
                  </a:defRPr>
                </a:pPr>
                <a:r>
                  <a:rPr lang="en-US"/>
                  <a:t>Année</a:t>
                </a:r>
                <a:endParaRPr lang="en-US"/>
              </a:p>
            </c:rich>
          </c:tx>
          <c:layout/>
          <c:overlay val="0"/>
        </c:title>
        <c:numFmt formatCode="General" sourceLinked="1"/>
        <c:majorTickMark val="none"/>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70736128"/>
        <c:crosses val="autoZero"/>
        <c:auto val="1"/>
        <c:lblAlgn val="ctr"/>
        <c:lblOffset val="100"/>
        <c:noMultiLvlLbl val="0"/>
      </c:catAx>
      <c:valAx>
        <c:axId val="70736128"/>
        <c:scaling>
          <c:orientation val="minMax"/>
        </c:scaling>
        <c:delete val="0"/>
        <c:axPos val="l"/>
        <c:majorGridlines/>
        <c:title>
          <c:tx>
            <c:rich>
              <a:bodyPr rot="-5400000" spcFirstLastPara="0" vertOverflow="ellipsis" vert="horz" wrap="square" anchor="ctr" anchorCtr="1"/>
              <a:lstStyle/>
              <a:p>
                <a:pPr>
                  <a:defRPr lang="fr-CA" sz="1000" b="1" i="0" u="none" strike="noStrike" kern="1200" baseline="0">
                    <a:solidFill>
                      <a:schemeClr val="dk1"/>
                    </a:solidFill>
                    <a:latin typeface="+mn-lt"/>
                    <a:ea typeface="+mn-ea"/>
                    <a:cs typeface="+mn-cs"/>
                  </a:defRPr>
                </a:pPr>
                <a:r>
                  <a:rPr lang="en-US"/>
                  <a:t>p (mm)</a:t>
                </a:r>
                <a:endParaRPr 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70734208"/>
        <c:crosses val="autoZero"/>
        <c:crossBetween val="between"/>
      </c:valAx>
    </c:plotArea>
    <c:legend>
      <c:legendPos val="r"/>
      <c:layout/>
      <c:overlay val="0"/>
      <c:txPr>
        <a:bodyPr rot="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lang="fr-CA">
          <a:solidFill>
            <a:schemeClr val="dk1"/>
          </a:solidFill>
          <a:latin typeface="+mn-lt"/>
          <a:ea typeface="+mn-ea"/>
          <a:cs typeface="+mn-cs"/>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Feuil2!$A$2</c:f>
              <c:strCache>
                <c:ptCount val="1"/>
                <c:pt idx="0">
                  <c:v>P (mm)</c:v>
                </c:pt>
              </c:strCache>
            </c:strRef>
          </c:tx>
          <c:invertIfNegative val="0"/>
          <c:dLbls>
            <c:delete val="1"/>
          </c:dLbls>
          <c:cat>
            <c:strRef>
              <c:f>Feuil2!$B$1:$M$1</c:f>
              <c:strCache>
                <c:ptCount val="12"/>
                <c:pt idx="0">
                  <c:v>Sep</c:v>
                </c:pt>
                <c:pt idx="1">
                  <c:v>Oct</c:v>
                </c:pt>
                <c:pt idx="2">
                  <c:v>Nov</c:v>
                </c:pt>
                <c:pt idx="3">
                  <c:v>Déc</c:v>
                </c:pt>
                <c:pt idx="4">
                  <c:v>Jan</c:v>
                </c:pt>
                <c:pt idx="5">
                  <c:v>Fév</c:v>
                </c:pt>
                <c:pt idx="6">
                  <c:v>Mar</c:v>
                </c:pt>
                <c:pt idx="7">
                  <c:v>Avr</c:v>
                </c:pt>
                <c:pt idx="8">
                  <c:v>Mai</c:v>
                </c:pt>
                <c:pt idx="9">
                  <c:v>Juin</c:v>
                </c:pt>
                <c:pt idx="10">
                  <c:v>Juil</c:v>
                </c:pt>
                <c:pt idx="11">
                  <c:v>Aout</c:v>
                </c:pt>
              </c:strCache>
            </c:strRef>
          </c:cat>
          <c:val>
            <c:numRef>
              <c:f>Feuil2!$B$2:$M$2</c:f>
              <c:numCache>
                <c:formatCode>General</c:formatCode>
                <c:ptCount val="12"/>
                <c:pt idx="0">
                  <c:v>25.57</c:v>
                </c:pt>
                <c:pt idx="1">
                  <c:v>32.72</c:v>
                </c:pt>
                <c:pt idx="2">
                  <c:v>71.43</c:v>
                </c:pt>
                <c:pt idx="3">
                  <c:v>56.73</c:v>
                </c:pt>
                <c:pt idx="4">
                  <c:v>46.65</c:v>
                </c:pt>
                <c:pt idx="5">
                  <c:v>48.91</c:v>
                </c:pt>
                <c:pt idx="6">
                  <c:v>39.03</c:v>
                </c:pt>
                <c:pt idx="7">
                  <c:v>37.18</c:v>
                </c:pt>
                <c:pt idx="8">
                  <c:v>25.56</c:v>
                </c:pt>
                <c:pt idx="9">
                  <c:v>4.72</c:v>
                </c:pt>
                <c:pt idx="10">
                  <c:v>2.04</c:v>
                </c:pt>
                <c:pt idx="11">
                  <c:v>3.06</c:v>
                </c:pt>
              </c:numCache>
            </c:numRef>
          </c:val>
        </c:ser>
        <c:dLbls>
          <c:showLegendKey val="0"/>
          <c:showVal val="0"/>
          <c:showCatName val="0"/>
          <c:showSerName val="0"/>
          <c:showPercent val="0"/>
          <c:showBubbleSize val="0"/>
        </c:dLbls>
        <c:gapWidth val="150"/>
        <c:axId val="84951424"/>
        <c:axId val="84953728"/>
      </c:barChart>
      <c:catAx>
        <c:axId val="84951424"/>
        <c:scaling>
          <c:orientation val="minMax"/>
        </c:scaling>
        <c:delete val="0"/>
        <c:axPos val="b"/>
        <c:title>
          <c:tx>
            <c:rich>
              <a:bodyPr rot="0" spcFirstLastPara="0" vertOverflow="ellipsis" vert="horz" wrap="square" anchor="ctr" anchorCtr="1"/>
              <a:lstStyle/>
              <a:p>
                <a:pPr>
                  <a:defRPr lang="fr-CA" sz="1000" b="1" i="0" u="none" strike="noStrike" kern="1200" baseline="0">
                    <a:solidFill>
                      <a:schemeClr val="dk1"/>
                    </a:solidFill>
                    <a:latin typeface="+mn-lt"/>
                    <a:ea typeface="+mn-ea"/>
                    <a:cs typeface="+mn-cs"/>
                  </a:defRPr>
                </a:pPr>
                <a:r>
                  <a:rPr lang="en-US"/>
                  <a:t>MoiS</a:t>
                </a:r>
                <a:endParaRPr lang="en-US"/>
              </a:p>
            </c:rich>
          </c:tx>
          <c:layout/>
          <c:overlay val="0"/>
        </c:title>
        <c:majorTickMark val="none"/>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84953728"/>
        <c:crosses val="autoZero"/>
        <c:auto val="1"/>
        <c:lblAlgn val="ctr"/>
        <c:lblOffset val="100"/>
        <c:noMultiLvlLbl val="0"/>
      </c:catAx>
      <c:valAx>
        <c:axId val="84953728"/>
        <c:scaling>
          <c:orientation val="minMax"/>
        </c:scaling>
        <c:delete val="0"/>
        <c:axPos val="l"/>
        <c:majorGridlines/>
        <c:title>
          <c:tx>
            <c:rich>
              <a:bodyPr rot="-5400000" spcFirstLastPara="0" vertOverflow="ellipsis" vert="horz" wrap="square" anchor="ctr" anchorCtr="1"/>
              <a:lstStyle/>
              <a:p>
                <a:pPr>
                  <a:defRPr lang="fr-CA" sz="1000" b="1" i="0" u="none" strike="noStrike" kern="1200" baseline="0">
                    <a:solidFill>
                      <a:schemeClr val="dk1"/>
                    </a:solidFill>
                    <a:latin typeface="+mn-lt"/>
                    <a:ea typeface="+mn-ea"/>
                    <a:cs typeface="+mn-cs"/>
                  </a:defRPr>
                </a:pPr>
                <a:r>
                  <a:rPr lang="en-US"/>
                  <a:t>p (mm)</a:t>
                </a:r>
                <a:endParaRPr 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84951424"/>
        <c:crosses val="autoZero"/>
        <c:crossBetween val="between"/>
      </c:valAx>
    </c:plotArea>
    <c:legend>
      <c:legendPos val="r"/>
      <c:layout/>
      <c:overlay val="0"/>
      <c:txPr>
        <a:bodyPr rot="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lang="fr-CA">
          <a:solidFill>
            <a:schemeClr val="dk1"/>
          </a:solidFill>
          <a:latin typeface="+mn-lt"/>
          <a:ea typeface="+mn-ea"/>
          <a:cs typeface="+mn-cs"/>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Feuil2!$A$2</c:f>
              <c:strCache>
                <c:ptCount val="1"/>
                <c:pt idx="0">
                  <c:v>P(mm)</c:v>
                </c:pt>
              </c:strCache>
            </c:strRef>
          </c:tx>
          <c:invertIfNegative val="0"/>
          <c:dLbls>
            <c:delete val="1"/>
          </c:dLbls>
          <c:cat>
            <c:strRef>
              <c:f>Feuil2!$B$1:$M$1</c:f>
              <c:strCache>
                <c:ptCount val="12"/>
                <c:pt idx="0">
                  <c:v>sept</c:v>
                </c:pt>
                <c:pt idx="1">
                  <c:v>oct</c:v>
                </c:pt>
                <c:pt idx="2">
                  <c:v>nov</c:v>
                </c:pt>
                <c:pt idx="3">
                  <c:v>Déc</c:v>
                </c:pt>
                <c:pt idx="4">
                  <c:v>Jan</c:v>
                </c:pt>
                <c:pt idx="5">
                  <c:v>Fév</c:v>
                </c:pt>
                <c:pt idx="6">
                  <c:v>Mars </c:v>
                </c:pt>
                <c:pt idx="7">
                  <c:v>Avr</c:v>
                </c:pt>
                <c:pt idx="8">
                  <c:v>Mai</c:v>
                </c:pt>
                <c:pt idx="9">
                  <c:v>Juin</c:v>
                </c:pt>
                <c:pt idx="10">
                  <c:v>Juilt</c:v>
                </c:pt>
                <c:pt idx="11">
                  <c:v>Aout</c:v>
                </c:pt>
              </c:strCache>
            </c:strRef>
          </c:cat>
          <c:val>
            <c:numRef>
              <c:f>Feuil2!$B$2:$M$2</c:f>
              <c:numCache>
                <c:formatCode>General</c:formatCode>
                <c:ptCount val="12"/>
                <c:pt idx="0">
                  <c:v>14.13</c:v>
                </c:pt>
                <c:pt idx="1">
                  <c:v>28.25</c:v>
                </c:pt>
                <c:pt idx="2">
                  <c:v>50</c:v>
                </c:pt>
                <c:pt idx="3">
                  <c:v>35.89</c:v>
                </c:pt>
                <c:pt idx="4">
                  <c:v>36.15</c:v>
                </c:pt>
                <c:pt idx="5">
                  <c:v>35.36</c:v>
                </c:pt>
                <c:pt idx="6">
                  <c:v>28.01</c:v>
                </c:pt>
                <c:pt idx="7">
                  <c:v>30.51</c:v>
                </c:pt>
                <c:pt idx="8">
                  <c:v>21.68</c:v>
                </c:pt>
                <c:pt idx="9">
                  <c:v>1.22</c:v>
                </c:pt>
                <c:pt idx="10">
                  <c:v>0.15</c:v>
                </c:pt>
                <c:pt idx="11">
                  <c:v>1.76</c:v>
                </c:pt>
              </c:numCache>
            </c:numRef>
          </c:val>
        </c:ser>
        <c:dLbls>
          <c:showLegendKey val="0"/>
          <c:showVal val="0"/>
          <c:showCatName val="0"/>
          <c:showSerName val="0"/>
          <c:showPercent val="0"/>
          <c:showBubbleSize val="0"/>
        </c:dLbls>
        <c:gapWidth val="150"/>
        <c:axId val="86412672"/>
        <c:axId val="86419712"/>
      </c:barChart>
      <c:catAx>
        <c:axId val="86412672"/>
        <c:scaling>
          <c:orientation val="minMax"/>
        </c:scaling>
        <c:delete val="0"/>
        <c:axPos val="b"/>
        <c:title>
          <c:tx>
            <c:rich>
              <a:bodyPr rot="0" spcFirstLastPara="0" vertOverflow="ellipsis" vert="horz" wrap="square" anchor="ctr" anchorCtr="1"/>
              <a:lstStyle/>
              <a:p>
                <a:pPr algn="r">
                  <a:defRPr lang="fr-CA" sz="1000" b="1" i="0" u="none" strike="noStrike" kern="1200" baseline="0">
                    <a:solidFill>
                      <a:schemeClr val="dk1"/>
                    </a:solidFill>
                    <a:latin typeface="+mn-lt"/>
                    <a:ea typeface="+mn-ea"/>
                    <a:cs typeface="+mn-cs"/>
                  </a:defRPr>
                </a:pPr>
                <a:r>
                  <a:rPr lang="en-US"/>
                  <a:t>mois</a:t>
                </a:r>
                <a:endParaRPr lang="en-US"/>
              </a:p>
            </c:rich>
          </c:tx>
          <c:layout/>
          <c:overlay val="0"/>
        </c:title>
        <c:majorTickMark val="none"/>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86419712"/>
        <c:crosses val="autoZero"/>
        <c:auto val="1"/>
        <c:lblAlgn val="ctr"/>
        <c:lblOffset val="100"/>
        <c:noMultiLvlLbl val="0"/>
      </c:catAx>
      <c:valAx>
        <c:axId val="86419712"/>
        <c:scaling>
          <c:orientation val="minMax"/>
        </c:scaling>
        <c:delete val="0"/>
        <c:axPos val="l"/>
        <c:majorGridlines/>
        <c:title>
          <c:tx>
            <c:rich>
              <a:bodyPr rot="-5400000" spcFirstLastPara="0" vertOverflow="ellipsis" vert="horz" wrap="square" anchor="ctr" anchorCtr="1"/>
              <a:lstStyle/>
              <a:p>
                <a:pPr>
                  <a:defRPr lang="fr-CA" sz="1000" b="1" i="0" u="none" strike="noStrike" kern="1200" baseline="0">
                    <a:solidFill>
                      <a:schemeClr val="dk1"/>
                    </a:solidFill>
                    <a:latin typeface="+mn-lt"/>
                    <a:ea typeface="+mn-ea"/>
                    <a:cs typeface="+mn-cs"/>
                  </a:defRPr>
                </a:pPr>
                <a:r>
                  <a:rPr lang="en-US"/>
                  <a:t>p(mm)</a:t>
                </a:r>
                <a:endParaRPr lang="en-US"/>
              </a:p>
            </c:rich>
          </c:tx>
          <c:layout/>
          <c:overlay val="0"/>
        </c:title>
        <c:numFmt formatCode="General" sourceLinked="1"/>
        <c:majorTickMark val="out"/>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86412672"/>
        <c:crosses val="autoZero"/>
        <c:crossBetween val="between"/>
      </c:valAx>
    </c:plotArea>
    <c:legend>
      <c:legendPos val="r"/>
      <c:layout/>
      <c:overlay val="0"/>
      <c:txPr>
        <a:bodyPr rot="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lang="fr-CA">
          <a:solidFill>
            <a:schemeClr val="dk1"/>
          </a:solidFill>
          <a:latin typeface="+mn-lt"/>
          <a:ea typeface="+mn-ea"/>
          <a:cs typeface="+mn-cs"/>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fr-CA" sz="1800" b="1" i="0" u="none" strike="noStrike" kern="1200" baseline="0">
                <a:solidFill>
                  <a:schemeClr val="dk1"/>
                </a:solidFill>
                <a:latin typeface="+mn-lt"/>
                <a:ea typeface="+mn-ea"/>
                <a:cs typeface="+mn-cs"/>
              </a:defRPr>
            </a:pPr>
            <a:r>
              <a:rPr lang="en-US"/>
              <a:t>Pluies saisonnnières des deux station</a:t>
            </a:r>
            <a:endParaRPr lang="en-US"/>
          </a:p>
        </c:rich>
      </c:tx>
      <c:layout/>
      <c:overlay val="0"/>
    </c:title>
    <c:autoTitleDeleted val="0"/>
    <c:plotArea>
      <c:layout/>
      <c:barChart>
        <c:barDir val="col"/>
        <c:grouping val="clustered"/>
        <c:varyColors val="0"/>
        <c:ser>
          <c:idx val="0"/>
          <c:order val="0"/>
          <c:tx>
            <c:strRef>
              <c:f>Feuil3!$A$2</c:f>
              <c:strCache>
                <c:ptCount val="1"/>
                <c:pt idx="0">
                  <c:v>Mostaganem</c:v>
                </c:pt>
              </c:strCache>
            </c:strRef>
          </c:tx>
          <c:invertIfNegative val="0"/>
          <c:dLbls>
            <c:delete val="1"/>
          </c:dLbls>
          <c:cat>
            <c:strRef>
              <c:f>Feuil3!$B$1:$E$1</c:f>
              <c:strCache>
                <c:ptCount val="4"/>
                <c:pt idx="0">
                  <c:v>AUT</c:v>
                </c:pt>
                <c:pt idx="1">
                  <c:v>HIV</c:v>
                </c:pt>
                <c:pt idx="2">
                  <c:v>PRI</c:v>
                </c:pt>
                <c:pt idx="3">
                  <c:v>ÉTÉ</c:v>
                </c:pt>
              </c:strCache>
            </c:strRef>
          </c:cat>
          <c:val>
            <c:numRef>
              <c:f>Feuil3!$B$2:$E$2</c:f>
              <c:numCache>
                <c:formatCode>0.00%</c:formatCode>
                <c:ptCount val="4"/>
                <c:pt idx="0">
                  <c:v>0.329100000000001</c:v>
                </c:pt>
                <c:pt idx="1">
                  <c:v>0.386300000000001</c:v>
                </c:pt>
                <c:pt idx="2">
                  <c:v>0.2582</c:v>
                </c:pt>
                <c:pt idx="3">
                  <c:v>0.0262</c:v>
                </c:pt>
              </c:numCache>
            </c:numRef>
          </c:val>
        </c:ser>
        <c:ser>
          <c:idx val="1"/>
          <c:order val="1"/>
          <c:tx>
            <c:strRef>
              <c:f>Feuil3!$A$3</c:f>
              <c:strCache>
                <c:ptCount val="1"/>
                <c:pt idx="0">
                  <c:v>Oued kramis </c:v>
                </c:pt>
              </c:strCache>
            </c:strRef>
          </c:tx>
          <c:invertIfNegative val="0"/>
          <c:dLbls>
            <c:delete val="1"/>
          </c:dLbls>
          <c:cat>
            <c:strRef>
              <c:f>Feuil3!$B$1:$E$1</c:f>
              <c:strCache>
                <c:ptCount val="4"/>
                <c:pt idx="0">
                  <c:v>AUT</c:v>
                </c:pt>
                <c:pt idx="1">
                  <c:v>HIV</c:v>
                </c:pt>
                <c:pt idx="2">
                  <c:v>PRI</c:v>
                </c:pt>
                <c:pt idx="3">
                  <c:v>ÉTÉ</c:v>
                </c:pt>
              </c:strCache>
            </c:strRef>
          </c:cat>
          <c:val>
            <c:numRef>
              <c:f>Feuil3!$B$3:$E$3</c:f>
              <c:numCache>
                <c:formatCode>0.00%</c:formatCode>
                <c:ptCount val="4"/>
                <c:pt idx="0">
                  <c:v>0.326300000000001</c:v>
                </c:pt>
                <c:pt idx="1">
                  <c:v>0.379300000000001</c:v>
                </c:pt>
                <c:pt idx="2">
                  <c:v>0.2832</c:v>
                </c:pt>
                <c:pt idx="3">
                  <c:v>0.011</c:v>
                </c:pt>
              </c:numCache>
            </c:numRef>
          </c:val>
        </c:ser>
        <c:dLbls>
          <c:showLegendKey val="0"/>
          <c:showVal val="0"/>
          <c:showCatName val="0"/>
          <c:showSerName val="0"/>
          <c:showPercent val="0"/>
          <c:showBubbleSize val="0"/>
        </c:dLbls>
        <c:gapWidth val="150"/>
        <c:axId val="122328576"/>
        <c:axId val="122330112"/>
      </c:barChart>
      <c:catAx>
        <c:axId val="122328576"/>
        <c:scaling>
          <c:orientation val="minMax"/>
        </c:scaling>
        <c:delete val="0"/>
        <c:axPos val="b"/>
        <c:majorTickMark val="none"/>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122330112"/>
        <c:crosses val="autoZero"/>
        <c:auto val="1"/>
        <c:lblAlgn val="ctr"/>
        <c:lblOffset val="100"/>
        <c:noMultiLvlLbl val="0"/>
      </c:catAx>
      <c:valAx>
        <c:axId val="122330112"/>
        <c:scaling>
          <c:orientation val="minMax"/>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122328576"/>
        <c:crosses val="autoZero"/>
        <c:crossBetween val="between"/>
      </c:valAx>
      <c:spPr>
        <a:solidFill>
          <a:schemeClr val="bg1"/>
        </a:solidFill>
        <a:ln>
          <a:noFill/>
        </a:ln>
        <a:effectLst/>
      </c:spPr>
    </c:plotArea>
    <c:legend>
      <c:legendPos val="r"/>
      <c:layout/>
      <c:overlay val="0"/>
      <c:txPr>
        <a:bodyPr rot="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lang="fr-CA">
          <a:solidFill>
            <a:schemeClr val="dk1"/>
          </a:solidFill>
          <a:latin typeface="+mn-lt"/>
          <a:ea typeface="+mn-ea"/>
          <a:cs typeface="+mn-cs"/>
        </a:defRPr>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Feuil4!$A$2</c:f>
              <c:strCache>
                <c:ptCount val="1"/>
                <c:pt idx="0">
                  <c:v>T min</c:v>
                </c:pt>
              </c:strCache>
            </c:strRef>
          </c:tx>
          <c:marker>
            <c:symbol val="none"/>
          </c:marker>
          <c:dLbls>
            <c:delete val="1"/>
          </c:dLbls>
          <c:cat>
            <c:strRef>
              <c:f>Feuil4!$B$1:$M$1</c:f>
              <c:strCache>
                <c:ptCount val="12"/>
                <c:pt idx="0">
                  <c:v>SEP</c:v>
                </c:pt>
                <c:pt idx="1">
                  <c:v>OCT</c:v>
                </c:pt>
                <c:pt idx="2">
                  <c:v>NOV</c:v>
                </c:pt>
                <c:pt idx="3">
                  <c:v>DEC</c:v>
                </c:pt>
                <c:pt idx="4">
                  <c:v>JAN</c:v>
                </c:pt>
                <c:pt idx="5">
                  <c:v>FEV</c:v>
                </c:pt>
                <c:pt idx="6">
                  <c:v>MAR</c:v>
                </c:pt>
                <c:pt idx="7">
                  <c:v>AVR</c:v>
                </c:pt>
                <c:pt idx="8">
                  <c:v>MAI</c:v>
                </c:pt>
                <c:pt idx="9">
                  <c:v>JUI</c:v>
                </c:pt>
                <c:pt idx="10">
                  <c:v>JUIL</c:v>
                </c:pt>
                <c:pt idx="11">
                  <c:v>AOU</c:v>
                </c:pt>
              </c:strCache>
            </c:strRef>
          </c:cat>
          <c:val>
            <c:numRef>
              <c:f>Feuil4!$B$2:$M$2</c:f>
              <c:numCache>
                <c:formatCode>General</c:formatCode>
                <c:ptCount val="12"/>
                <c:pt idx="0">
                  <c:v>17.86</c:v>
                </c:pt>
                <c:pt idx="1">
                  <c:v>14.37</c:v>
                </c:pt>
                <c:pt idx="2">
                  <c:v>9.62</c:v>
                </c:pt>
                <c:pt idx="3">
                  <c:v>7.48</c:v>
                </c:pt>
                <c:pt idx="4">
                  <c:v>5.61</c:v>
                </c:pt>
                <c:pt idx="5">
                  <c:v>6.34</c:v>
                </c:pt>
                <c:pt idx="6">
                  <c:v>7.8</c:v>
                </c:pt>
                <c:pt idx="7">
                  <c:v>9.56</c:v>
                </c:pt>
                <c:pt idx="8">
                  <c:v>13.24</c:v>
                </c:pt>
                <c:pt idx="9">
                  <c:v>16.73</c:v>
                </c:pt>
                <c:pt idx="10">
                  <c:v>19.43</c:v>
                </c:pt>
                <c:pt idx="11">
                  <c:v>20.32</c:v>
                </c:pt>
              </c:numCache>
            </c:numRef>
          </c:val>
          <c:smooth val="0"/>
        </c:ser>
        <c:ser>
          <c:idx val="1"/>
          <c:order val="1"/>
          <c:tx>
            <c:strRef>
              <c:f>Feuil4!$A$3</c:f>
              <c:strCache>
                <c:ptCount val="1"/>
                <c:pt idx="0">
                  <c:v>T Max</c:v>
                </c:pt>
              </c:strCache>
            </c:strRef>
          </c:tx>
          <c:marker>
            <c:symbol val="none"/>
          </c:marker>
          <c:dLbls>
            <c:delete val="1"/>
          </c:dLbls>
          <c:cat>
            <c:strRef>
              <c:f>Feuil4!$B$1:$M$1</c:f>
              <c:strCache>
                <c:ptCount val="12"/>
                <c:pt idx="0">
                  <c:v>SEP</c:v>
                </c:pt>
                <c:pt idx="1">
                  <c:v>OCT</c:v>
                </c:pt>
                <c:pt idx="2">
                  <c:v>NOV</c:v>
                </c:pt>
                <c:pt idx="3">
                  <c:v>DEC</c:v>
                </c:pt>
                <c:pt idx="4">
                  <c:v>JAN</c:v>
                </c:pt>
                <c:pt idx="5">
                  <c:v>FEV</c:v>
                </c:pt>
                <c:pt idx="6">
                  <c:v>MAR</c:v>
                </c:pt>
                <c:pt idx="7">
                  <c:v>AVR</c:v>
                </c:pt>
                <c:pt idx="8">
                  <c:v>MAI</c:v>
                </c:pt>
                <c:pt idx="9">
                  <c:v>JUI</c:v>
                </c:pt>
                <c:pt idx="10">
                  <c:v>JUIL</c:v>
                </c:pt>
                <c:pt idx="11">
                  <c:v>AOU</c:v>
                </c:pt>
              </c:strCache>
            </c:strRef>
          </c:cat>
          <c:val>
            <c:numRef>
              <c:f>Feuil4!$B$3:$M$3</c:f>
              <c:numCache>
                <c:formatCode>General</c:formatCode>
                <c:ptCount val="12"/>
                <c:pt idx="0">
                  <c:v>28.47</c:v>
                </c:pt>
                <c:pt idx="1">
                  <c:v>24.85</c:v>
                </c:pt>
                <c:pt idx="2">
                  <c:v>19.66</c:v>
                </c:pt>
                <c:pt idx="3">
                  <c:v>17.05</c:v>
                </c:pt>
                <c:pt idx="4">
                  <c:v>16.16</c:v>
                </c:pt>
                <c:pt idx="5">
                  <c:v>17.04</c:v>
                </c:pt>
                <c:pt idx="6">
                  <c:v>19.14</c:v>
                </c:pt>
                <c:pt idx="7">
                  <c:v>20.85</c:v>
                </c:pt>
                <c:pt idx="8">
                  <c:v>23.78</c:v>
                </c:pt>
                <c:pt idx="9">
                  <c:v>28.09</c:v>
                </c:pt>
                <c:pt idx="10">
                  <c:v>31.34</c:v>
                </c:pt>
                <c:pt idx="11">
                  <c:v>32.12</c:v>
                </c:pt>
              </c:numCache>
            </c:numRef>
          </c:val>
          <c:smooth val="0"/>
        </c:ser>
        <c:ser>
          <c:idx val="2"/>
          <c:order val="2"/>
          <c:tx>
            <c:strRef>
              <c:f>Feuil4!$A$4</c:f>
              <c:strCache>
                <c:ptCount val="1"/>
                <c:pt idx="0">
                  <c:v>(M+m)/2</c:v>
                </c:pt>
              </c:strCache>
            </c:strRef>
          </c:tx>
          <c:marker>
            <c:symbol val="none"/>
          </c:marker>
          <c:dLbls>
            <c:delete val="1"/>
          </c:dLbls>
          <c:cat>
            <c:strRef>
              <c:f>Feuil4!$B$1:$M$1</c:f>
              <c:strCache>
                <c:ptCount val="12"/>
                <c:pt idx="0">
                  <c:v>SEP</c:v>
                </c:pt>
                <c:pt idx="1">
                  <c:v>OCT</c:v>
                </c:pt>
                <c:pt idx="2">
                  <c:v>NOV</c:v>
                </c:pt>
                <c:pt idx="3">
                  <c:v>DEC</c:v>
                </c:pt>
                <c:pt idx="4">
                  <c:v>JAN</c:v>
                </c:pt>
                <c:pt idx="5">
                  <c:v>FEV</c:v>
                </c:pt>
                <c:pt idx="6">
                  <c:v>MAR</c:v>
                </c:pt>
                <c:pt idx="7">
                  <c:v>AVR</c:v>
                </c:pt>
                <c:pt idx="8">
                  <c:v>MAI</c:v>
                </c:pt>
                <c:pt idx="9">
                  <c:v>JUI</c:v>
                </c:pt>
                <c:pt idx="10">
                  <c:v>JUIL</c:v>
                </c:pt>
                <c:pt idx="11">
                  <c:v>AOU</c:v>
                </c:pt>
              </c:strCache>
            </c:strRef>
          </c:cat>
          <c:val>
            <c:numRef>
              <c:f>Feuil4!$B$4:$M$4</c:f>
              <c:numCache>
                <c:formatCode>General</c:formatCode>
                <c:ptCount val="12"/>
                <c:pt idx="0">
                  <c:v>23.07</c:v>
                </c:pt>
                <c:pt idx="1">
                  <c:v>19.61</c:v>
                </c:pt>
                <c:pt idx="2">
                  <c:v>14.64</c:v>
                </c:pt>
                <c:pt idx="3">
                  <c:v>12.26</c:v>
                </c:pt>
                <c:pt idx="4">
                  <c:v>10.88</c:v>
                </c:pt>
                <c:pt idx="5">
                  <c:v>11.69</c:v>
                </c:pt>
                <c:pt idx="6">
                  <c:v>13.47</c:v>
                </c:pt>
                <c:pt idx="7">
                  <c:v>15.2</c:v>
                </c:pt>
                <c:pt idx="8">
                  <c:v>18.51</c:v>
                </c:pt>
                <c:pt idx="9">
                  <c:v>22.41</c:v>
                </c:pt>
                <c:pt idx="10">
                  <c:v>25.38</c:v>
                </c:pt>
                <c:pt idx="11">
                  <c:v>26.22</c:v>
                </c:pt>
              </c:numCache>
            </c:numRef>
          </c:val>
          <c:smooth val="0"/>
        </c:ser>
        <c:dLbls>
          <c:showLegendKey val="0"/>
          <c:showVal val="0"/>
          <c:showCatName val="0"/>
          <c:showSerName val="0"/>
          <c:showPercent val="0"/>
          <c:showBubbleSize val="0"/>
        </c:dLbls>
        <c:marker val="0"/>
        <c:smooth val="0"/>
        <c:axId val="84825984"/>
        <c:axId val="84827520"/>
      </c:lineChart>
      <c:catAx>
        <c:axId val="84825984"/>
        <c:scaling>
          <c:orientation val="minMax"/>
        </c:scaling>
        <c:delete val="0"/>
        <c:axPos val="b"/>
        <c:majorTickMark val="out"/>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84827520"/>
        <c:crosses val="autoZero"/>
        <c:auto val="1"/>
        <c:lblAlgn val="ctr"/>
        <c:lblOffset val="100"/>
        <c:noMultiLvlLbl val="0"/>
      </c:catAx>
      <c:valAx>
        <c:axId val="84827520"/>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84825984"/>
        <c:crosses val="autoZero"/>
        <c:crossBetween val="between"/>
      </c:valAx>
    </c:plotArea>
    <c:legend>
      <c:legendPos val="r"/>
      <c:layout/>
      <c:overlay val="0"/>
      <c:txPr>
        <a:bodyPr rot="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lang="fr-CA">
          <a:solidFill>
            <a:schemeClr val="dk1"/>
          </a:solidFill>
          <a:latin typeface="+mn-lt"/>
          <a:ea typeface="+mn-ea"/>
          <a:cs typeface="+mn-cs"/>
        </a:defRPr>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rot="0" spcFirstLastPara="0" vertOverflow="ellipsis" vert="horz" wrap="square" anchor="ctr" anchorCtr="1"/>
        <a:lstStyle/>
        <a:p>
          <a:pPr>
            <a:defRPr lang="fr-CA" sz="1800" b="1" i="0" u="none" strike="noStrike" kern="1200" baseline="0">
              <a:solidFill>
                <a:schemeClr val="dk1"/>
              </a:solidFill>
              <a:latin typeface="+mn-lt"/>
              <a:ea typeface="+mn-ea"/>
              <a:cs typeface="+mn-cs"/>
            </a:defRPr>
          </a:pPr>
        </a:p>
      </c:txPr>
    </c:title>
    <c:autoTitleDeleted val="0"/>
    <c:plotArea>
      <c:layout/>
      <c:barChart>
        <c:barDir val="col"/>
        <c:grouping val="clustered"/>
        <c:varyColors val="0"/>
        <c:ser>
          <c:idx val="0"/>
          <c:order val="0"/>
          <c:tx>
            <c:strRef>
              <c:f>Feuil5!$A$2</c:f>
              <c:strCache>
                <c:ptCount val="1"/>
                <c:pt idx="0">
                  <c:v>V (m/s)</c:v>
                </c:pt>
              </c:strCache>
            </c:strRef>
          </c:tx>
          <c:invertIfNegative val="0"/>
          <c:dLbls>
            <c:delete val="1"/>
          </c:dLbls>
          <c:cat>
            <c:strRef>
              <c:f>Feuil5!$B$1:$N$1</c:f>
              <c:strCache>
                <c:ptCount val="13"/>
                <c:pt idx="0">
                  <c:v>SEP</c:v>
                </c:pt>
                <c:pt idx="1">
                  <c:v>OCT</c:v>
                </c:pt>
                <c:pt idx="2">
                  <c:v>NOV</c:v>
                </c:pt>
                <c:pt idx="3">
                  <c:v>DEC</c:v>
                </c:pt>
                <c:pt idx="4">
                  <c:v>JAN</c:v>
                </c:pt>
                <c:pt idx="5">
                  <c:v>FEV</c:v>
                </c:pt>
                <c:pt idx="6">
                  <c:v>MAR</c:v>
                </c:pt>
                <c:pt idx="7">
                  <c:v>AVR</c:v>
                </c:pt>
                <c:pt idx="8">
                  <c:v>MAI</c:v>
                </c:pt>
                <c:pt idx="9">
                  <c:v>JUI</c:v>
                </c:pt>
                <c:pt idx="10">
                  <c:v>JUIL</c:v>
                </c:pt>
                <c:pt idx="11">
                  <c:v>AUO</c:v>
                </c:pt>
                <c:pt idx="12">
                  <c:v>Moy</c:v>
                </c:pt>
              </c:strCache>
            </c:strRef>
          </c:cat>
          <c:val>
            <c:numRef>
              <c:f>Feuil5!$B$2:$N$2</c:f>
              <c:numCache>
                <c:formatCode>General</c:formatCode>
                <c:ptCount val="13"/>
                <c:pt idx="0">
                  <c:v>21.4</c:v>
                </c:pt>
                <c:pt idx="1">
                  <c:v>21.4</c:v>
                </c:pt>
                <c:pt idx="2">
                  <c:v>20.7</c:v>
                </c:pt>
                <c:pt idx="3">
                  <c:v>21.7</c:v>
                </c:pt>
                <c:pt idx="4">
                  <c:v>15.8</c:v>
                </c:pt>
                <c:pt idx="5">
                  <c:v>18.7</c:v>
                </c:pt>
                <c:pt idx="6">
                  <c:v>19.6</c:v>
                </c:pt>
                <c:pt idx="7">
                  <c:v>23.5</c:v>
                </c:pt>
                <c:pt idx="8">
                  <c:v>26.1</c:v>
                </c:pt>
                <c:pt idx="9">
                  <c:v>26.6</c:v>
                </c:pt>
                <c:pt idx="10">
                  <c:v>18.2</c:v>
                </c:pt>
                <c:pt idx="11">
                  <c:v>20.3</c:v>
                </c:pt>
                <c:pt idx="12">
                  <c:v>21.16</c:v>
                </c:pt>
              </c:numCache>
            </c:numRef>
          </c:val>
        </c:ser>
        <c:dLbls>
          <c:showLegendKey val="0"/>
          <c:showVal val="0"/>
          <c:showCatName val="0"/>
          <c:showSerName val="0"/>
          <c:showPercent val="0"/>
          <c:showBubbleSize val="0"/>
        </c:dLbls>
        <c:gapWidth val="150"/>
        <c:axId val="84998784"/>
        <c:axId val="85119744"/>
      </c:barChart>
      <c:catAx>
        <c:axId val="84998784"/>
        <c:scaling>
          <c:orientation val="minMax"/>
        </c:scaling>
        <c:delete val="0"/>
        <c:axPos val="b"/>
        <c:title>
          <c:tx>
            <c:rich>
              <a:bodyPr rot="0" spcFirstLastPara="0" vertOverflow="ellipsis" vert="horz" wrap="square" anchor="ctr" anchorCtr="1"/>
              <a:lstStyle/>
              <a:p>
                <a:pPr>
                  <a:defRPr lang="fr-CA" sz="1000" b="1" i="0" u="none" strike="noStrike" kern="1200" baseline="0">
                    <a:solidFill>
                      <a:schemeClr val="dk1"/>
                    </a:solidFill>
                    <a:latin typeface="+mn-lt"/>
                    <a:ea typeface="+mn-ea"/>
                    <a:cs typeface="+mn-cs"/>
                  </a:defRPr>
                </a:pPr>
                <a:r>
                  <a:rPr lang="en-US"/>
                  <a:t>Moin</a:t>
                </a:r>
                <a:endParaRPr lang="en-US"/>
              </a:p>
            </c:rich>
          </c:tx>
          <c:layout/>
          <c:overlay val="0"/>
        </c:title>
        <c:majorTickMark val="none"/>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85119744"/>
        <c:crosses val="autoZero"/>
        <c:auto val="1"/>
        <c:lblAlgn val="ctr"/>
        <c:lblOffset val="100"/>
        <c:noMultiLvlLbl val="0"/>
      </c:catAx>
      <c:valAx>
        <c:axId val="85119744"/>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crossAx val="84998784"/>
        <c:crosses val="autoZero"/>
        <c:crossBetween val="between"/>
      </c:valAx>
    </c:plotArea>
    <c:legend>
      <c:legendPos val="r"/>
      <c:layout/>
      <c:overlay val="0"/>
      <c:txPr>
        <a:bodyPr rot="0" spcFirstLastPara="0" vertOverflow="ellipsis" vert="horz" wrap="square" anchor="ctr" anchorCtr="1"/>
        <a:lstStyle/>
        <a:p>
          <a:pPr>
            <a:defRPr lang="fr-CA" sz="1000" b="0" i="0" u="none" strike="noStrike" kern="1200" baseline="0">
              <a:solidFill>
                <a:schemeClr val="dk1"/>
              </a:solidFill>
              <a:latin typeface="+mn-lt"/>
              <a:ea typeface="+mn-ea"/>
              <a:cs typeface="+mn-cs"/>
            </a:defRPr>
          </a:pPr>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lang="fr-CA">
          <a:solidFill>
            <a:schemeClr val="dk1"/>
          </a:solidFill>
          <a:latin typeface="+mn-lt"/>
          <a:ea typeface="+mn-ea"/>
          <a:cs typeface="+mn-cs"/>
        </a:defRPr>
      </a:pPr>
    </a:p>
  </c:tx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206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C04BACA-05D9-4B3A-8E81-F23C4D8389E7}">
  <ds:schemaRefs/>
</ds:datastoreItem>
</file>

<file path=docProps/app.xml><?xml version="1.0" encoding="utf-8"?>
<Properties xmlns="http://schemas.openxmlformats.org/officeDocument/2006/extended-properties" xmlns:vt="http://schemas.openxmlformats.org/officeDocument/2006/docPropsVTypes">
  <Template>Normal</Template>
  <Pages>1</Pages>
  <Words>168</Words>
  <Characters>927</Characters>
  <Lines>7</Lines>
  <Paragraphs>2</Paragraphs>
  <TotalTime>8</TotalTime>
  <ScaleCrop>false</ScaleCrop>
  <LinksUpToDate>false</LinksUpToDate>
  <CharactersWithSpaces>1093</CharactersWithSpaces>
  <Application>WPS Office_12.2.0.13306_F1E327BC-269C-435d-A152-05C5408002CA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2017-06-16T09:01:00Z</dcterms:created>
  <dc:creator>belaribi med</dc:creator>
  <cp:lastModifiedBy>Fethi</cp:lastModifiedBy>
  <cp:lastPrinted>2017-06-16T21:11:00Z</cp:lastPrinted>
  <dcterms:modified xsi:type="dcterms:W3CDTF">2023-12-07T21:28:08Z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3084-12.2.0.13306</vt:lpwstr>
  </property>
  <property fmtid="{D5CDD505-2E9C-101B-9397-08002B2CF9AE}" pid="3" name="ICV">
    <vt:lpwstr>A8FDECBCF6E3432DB1881CEC64414E49_12</vt:lpwstr>
  </property>
</Properties>
</file>